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3B" w:rsidRDefault="003A633B"/>
    <w:p w:rsidR="00F51716" w:rsidRDefault="006D0F03">
      <w:r>
        <w:t xml:space="preserve">Con la entrada en vigencia de la Ley Nº 20.285 Sobre Acceso a la Información Pública, los órganos de la Administración del Estado, y como se señala en su Art. 1º </w:t>
      </w:r>
      <w:r w:rsidR="00DD3C3C">
        <w:t xml:space="preserve">…”regula el principio de transparencia de la función pública, el derecho de acceso a la información de los órganos de la Administración del Estado, los procedimientos para el ejercicio del derecho y para su amparo, y las excepciones a la publicidad de la información”. </w:t>
      </w:r>
    </w:p>
    <w:p w:rsidR="00DD3C3C" w:rsidRDefault="00DD3C3C"/>
    <w:p w:rsidR="000B6161" w:rsidRDefault="00DD3C3C">
      <w:r>
        <w:t>En vista de la aprobación de dicha Ley, el año 2015 el municipio firma un convenio con el Consejo para la Transparencia (CPL</w:t>
      </w:r>
      <w:r w:rsidR="00702BE5">
        <w:t>T), para la implementación del P</w:t>
      </w:r>
      <w:r>
        <w:t>ortal de Transparencia, y a través del Decreto Alcaldicio Nº 5553 de fecha 24 de Noviembre de 2015</w:t>
      </w:r>
      <w:r w:rsidR="00702BE5">
        <w:t>,</w:t>
      </w:r>
      <w:r w:rsidR="000B6161">
        <w:t xml:space="preserve"> se aprueba el Reglamento de Acceso a la Información Pública de la I. Municipalidad de Casablanca. Instrumentos vigentes a la fecha.</w:t>
      </w:r>
    </w:p>
    <w:p w:rsidR="000B6161" w:rsidRDefault="000B6161"/>
    <w:p w:rsidR="000B6161" w:rsidRPr="006232B2" w:rsidRDefault="000B6161" w:rsidP="00DF6E8A">
      <w:pPr>
        <w:rPr>
          <w:b/>
        </w:rPr>
      </w:pPr>
      <w:r w:rsidRPr="006232B2">
        <w:rPr>
          <w:b/>
        </w:rPr>
        <w:t>Transparencia Activa (TA)</w:t>
      </w:r>
    </w:p>
    <w:p w:rsidR="000B6161" w:rsidRDefault="000B6161">
      <w:r>
        <w:t>Se entiende por  TA la mantención permanente al público a través</w:t>
      </w:r>
      <w:r w:rsidR="00702BE5">
        <w:t xml:space="preserve"> en</w:t>
      </w:r>
      <w:r>
        <w:t xml:space="preserve"> medios electrónicos del municipio los siguientes antecedentes, los que deben ser actualizados a lo menos una vez al mes:</w:t>
      </w:r>
    </w:p>
    <w:p w:rsidR="000B6161" w:rsidRDefault="0091391A" w:rsidP="000B6161">
      <w:pPr>
        <w:pStyle w:val="Prrafodelista"/>
        <w:numPr>
          <w:ilvl w:val="0"/>
          <w:numId w:val="1"/>
        </w:numPr>
      </w:pPr>
      <w:r>
        <w:t>Actos y documentos publicados en el Diario Oficial.</w:t>
      </w:r>
    </w:p>
    <w:p w:rsidR="0091391A" w:rsidRDefault="0091391A" w:rsidP="000B6161">
      <w:pPr>
        <w:pStyle w:val="Prrafodelista"/>
        <w:numPr>
          <w:ilvl w:val="0"/>
          <w:numId w:val="1"/>
        </w:numPr>
      </w:pPr>
      <w:r>
        <w:t>Potestades y Marco Normativo</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Estructura orgánica y facultades, funciones y atribuciones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Personal y remuneraciones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Adquisiciones y contrataciones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Transferencias de fondos y aportes económicos entregados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Actos y resoluciones con efectos sobre terceros (patentes, permisos, derechos, concesiones, concursos públicos y otros)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Trámites ante el organismo</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Subsidios y beneficios</w:t>
      </w:r>
    </w:p>
    <w:p w:rsidR="0091391A"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Mecanismos de participación ciudadana</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Presupuesto asignado y su ejecución</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Auditorías al ejercicio presupuestario y aclaraciones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Participación en otras entidades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Antecedentes preparatorios de normas jurídicas generales que afecten a empresas de menor tamaño</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Lobby y gestión de intereses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Declaración de patrimonio e intereses Ley N°20.880</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Informe Anual a la SUBDERE</w:t>
      </w:r>
    </w:p>
    <w:p w:rsidR="00D65D1C" w:rsidRPr="00DF6E8A"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Otros Antecedentes (Concejo Municipal y Cuentas Públic</w:t>
      </w:r>
      <w:r>
        <w:rPr>
          <w:rStyle w:val="tematitle1"/>
          <w:rFonts w:asciiTheme="minorHAnsi" w:hAnsiTheme="minorHAnsi" w:cs="Arial"/>
          <w:color w:val="000000"/>
          <w:sz w:val="22"/>
          <w:szCs w:val="22"/>
        </w:rPr>
        <w:t>as)</w:t>
      </w:r>
    </w:p>
    <w:p w:rsidR="00DF6E8A" w:rsidRDefault="00DF6E8A" w:rsidP="00DF6E8A">
      <w:pPr>
        <w:pStyle w:val="Prrafodelista"/>
        <w:rPr>
          <w:rStyle w:val="tematitle1"/>
          <w:rFonts w:asciiTheme="minorHAnsi" w:hAnsiTheme="minorHAnsi" w:cs="Arial"/>
          <w:color w:val="000000"/>
          <w:sz w:val="22"/>
          <w:szCs w:val="22"/>
        </w:rPr>
      </w:pPr>
    </w:p>
    <w:p w:rsidR="004560B7" w:rsidRDefault="004560B7" w:rsidP="00DF6E8A">
      <w:pPr>
        <w:pStyle w:val="Prrafodelista"/>
        <w:rPr>
          <w:rStyle w:val="tematitle1"/>
          <w:rFonts w:asciiTheme="minorHAnsi" w:hAnsiTheme="minorHAnsi" w:cs="Arial"/>
          <w:b/>
          <w:color w:val="000000"/>
          <w:sz w:val="22"/>
          <w:szCs w:val="22"/>
        </w:rPr>
      </w:pPr>
    </w:p>
    <w:p w:rsidR="00DF6E8A" w:rsidRDefault="00DF6E8A" w:rsidP="00DF6E8A">
      <w:pPr>
        <w:pStyle w:val="Prrafodelista"/>
        <w:rPr>
          <w:rStyle w:val="tematitle1"/>
          <w:rFonts w:asciiTheme="minorHAnsi" w:hAnsiTheme="minorHAnsi" w:cs="Arial"/>
          <w:b/>
          <w:color w:val="000000"/>
          <w:sz w:val="22"/>
          <w:szCs w:val="22"/>
        </w:rPr>
      </w:pPr>
      <w:r w:rsidRPr="00DF6E8A">
        <w:rPr>
          <w:rStyle w:val="tematitle1"/>
          <w:rFonts w:asciiTheme="minorHAnsi" w:hAnsiTheme="minorHAnsi" w:cs="Arial"/>
          <w:b/>
          <w:color w:val="000000"/>
          <w:sz w:val="22"/>
          <w:szCs w:val="22"/>
        </w:rPr>
        <w:t>Información por Unidad</w:t>
      </w:r>
    </w:p>
    <w:p w:rsidR="00DF6E8A" w:rsidRPr="00DF6E8A" w:rsidRDefault="00DF6E8A" w:rsidP="00DF6E8A">
      <w:pPr>
        <w:pStyle w:val="Prrafodelista"/>
        <w:rPr>
          <w:rStyle w:val="tematitle1"/>
          <w:rFonts w:asciiTheme="minorHAnsi" w:hAnsiTheme="minorHAnsi"/>
          <w:b/>
          <w:sz w:val="22"/>
          <w:szCs w:val="22"/>
        </w:rPr>
      </w:pPr>
    </w:p>
    <w:p w:rsidR="00DF6E8A" w:rsidRDefault="00DF6E8A" w:rsidP="00DF6E8A">
      <w:pPr>
        <w:pStyle w:val="Prrafodelista"/>
        <w:rPr>
          <w:rStyle w:val="tematitle1"/>
          <w:rFonts w:asciiTheme="minorHAnsi" w:hAnsiTheme="minorHAnsi" w:cs="Arial"/>
          <w:color w:val="000000"/>
          <w:sz w:val="22"/>
          <w:szCs w:val="22"/>
        </w:rPr>
      </w:pPr>
    </w:p>
    <w:tbl>
      <w:tblPr>
        <w:tblW w:w="9072" w:type="dxa"/>
        <w:tblInd w:w="70" w:type="dxa"/>
        <w:tblCellMar>
          <w:left w:w="70" w:type="dxa"/>
          <w:right w:w="70" w:type="dxa"/>
        </w:tblCellMar>
        <w:tblLook w:val="04A0"/>
      </w:tblPr>
      <w:tblGrid>
        <w:gridCol w:w="2393"/>
        <w:gridCol w:w="5203"/>
        <w:gridCol w:w="1476"/>
      </w:tblGrid>
      <w:tr w:rsidR="00DF6E8A" w:rsidRPr="00DF6E8A" w:rsidTr="00DF6E8A">
        <w:trPr>
          <w:trHeight w:val="300"/>
        </w:trPr>
        <w:tc>
          <w:tcPr>
            <w:tcW w:w="2393"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val="es-CL" w:eastAsia="es-ES"/>
              </w:rPr>
              <w:t>Unidad</w:t>
            </w:r>
          </w:p>
        </w:tc>
        <w:tc>
          <w:tcPr>
            <w:tcW w:w="5203"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val="es-CL" w:eastAsia="es-ES"/>
              </w:rPr>
              <w:t>Materia a informar</w:t>
            </w:r>
          </w:p>
        </w:tc>
        <w:tc>
          <w:tcPr>
            <w:tcW w:w="1476"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eastAsia="es-ES"/>
              </w:rPr>
              <w:t>Cumplimiento</w:t>
            </w:r>
          </w:p>
        </w:tc>
      </w:tr>
      <w:tr w:rsidR="00DF6E8A" w:rsidRPr="00DF6E8A" w:rsidTr="00DF6E8A">
        <w:trPr>
          <w:trHeight w:val="525"/>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Dirección de Administración y Finanzas</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Información relacionada a presupuesto: Pasivos, BEP, Estados de Situación Financiera</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Arriendos, compras menores a 3 UTM</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DIDECO</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Subsidios y beneficios propios</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 </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Nómina Beneficiarios</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Departamento de Educación</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Remuneraciones y Escala de Remuneraciones del Personal</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Arriendos, compras menores a 3 UTM</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525"/>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Dirección de Salud</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Arriendos, compras menores a 3 UTM, Remuneraciones y Escala de Remuneraciones del Personal</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DOM</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Permisos de Obras</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525"/>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Oficina de Transparencia</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Encargado de la publicación de la información generada por las unidades municipales</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lang w:eastAsia="es-ES"/>
              </w:rPr>
            </w:pPr>
            <w:r w:rsidRPr="00DF6E8A">
              <w:rPr>
                <w:rFonts w:ascii="Calibri" w:eastAsia="Times New Roman" w:hAnsi="Calibri" w:cs="Times New Roman"/>
                <w:color w:val="00000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RRHH</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Remuneraciones y Escala de Remuneraciones del Personal</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Secretaría Municipal</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Reglamentos Municipales</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bl>
    <w:p w:rsidR="00DF6E8A" w:rsidRDefault="00DF6E8A" w:rsidP="00DF6E8A">
      <w:pPr>
        <w:pStyle w:val="Prrafodelista"/>
        <w:rPr>
          <w:rStyle w:val="tematitle1"/>
          <w:rFonts w:asciiTheme="minorHAnsi" w:hAnsiTheme="minorHAnsi"/>
          <w:sz w:val="22"/>
          <w:szCs w:val="22"/>
        </w:rPr>
      </w:pPr>
    </w:p>
    <w:p w:rsidR="00DF6E8A" w:rsidRPr="00DF6E8A" w:rsidRDefault="00DF6E8A" w:rsidP="00DF6E8A">
      <w:pPr>
        <w:rPr>
          <w:rStyle w:val="tematitle1"/>
          <w:rFonts w:asciiTheme="minorHAnsi" w:hAnsiTheme="minorHAnsi"/>
          <w:sz w:val="22"/>
          <w:szCs w:val="22"/>
        </w:rPr>
      </w:pPr>
      <w:r w:rsidRPr="00DF6E8A">
        <w:rPr>
          <w:rStyle w:val="tematitle1"/>
          <w:rFonts w:asciiTheme="minorHAnsi" w:hAnsiTheme="minorHAnsi"/>
          <w:sz w:val="22"/>
          <w:szCs w:val="22"/>
        </w:rPr>
        <w:t>Todas las unidades dan cumplimiento a la entrega de la información que debe ser publicada y que debe estar permanentemente a disposición del público.</w:t>
      </w:r>
    </w:p>
    <w:p w:rsidR="00BE74CD" w:rsidRDefault="00BE74CD"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4C074A" w:rsidRPr="006232B2" w:rsidRDefault="004C074A" w:rsidP="00DF6E8A">
      <w:pPr>
        <w:rPr>
          <w:b/>
        </w:rPr>
      </w:pPr>
      <w:r w:rsidRPr="006232B2">
        <w:rPr>
          <w:b/>
        </w:rPr>
        <w:t xml:space="preserve">Derecho de Acceso a la Información </w:t>
      </w:r>
    </w:p>
    <w:p w:rsidR="00D65D1C" w:rsidRDefault="004C074A" w:rsidP="007339D7">
      <w:r>
        <w:t>Tal como describe su nombre es el Derecho de acceder a las informaciones contenidas en actos, resoluciones, actas, expedientes, contratos y acuerdos, así como a toda información elaborada con presupuesto público, cualquiera sea el formato o soporte en que se contenga, salvo las excepciones legales.</w:t>
      </w:r>
    </w:p>
    <w:p w:rsidR="006232B2" w:rsidRDefault="004C074A" w:rsidP="004560B7">
      <w:r>
        <w:t xml:space="preserve">Durante el </w:t>
      </w:r>
      <w:r w:rsidR="00BE74CD">
        <w:t>Primer</w:t>
      </w:r>
      <w:r>
        <w:t xml:space="preserve"> Semestre del año 201</w:t>
      </w:r>
      <w:r w:rsidR="0094097A">
        <w:t>8</w:t>
      </w:r>
      <w:r>
        <w:t xml:space="preserve"> fueron recibidas </w:t>
      </w:r>
      <w:r w:rsidR="006232B2">
        <w:t xml:space="preserve">un total de </w:t>
      </w:r>
      <w:r w:rsidR="00BE74CD">
        <w:t>97</w:t>
      </w:r>
      <w:r w:rsidR="006232B2">
        <w:t xml:space="preserve"> Solicitudes de Acceso a la Información (SAI), cuyo tratamiento ha sido el siguiente:</w:t>
      </w:r>
    </w:p>
    <w:p w:rsidR="00351D84" w:rsidRDefault="00351D84" w:rsidP="00D65D1C">
      <w:pPr>
        <w:ind w:left="360"/>
      </w:pPr>
    </w:p>
    <w:tbl>
      <w:tblPr>
        <w:tblW w:w="6211" w:type="dxa"/>
        <w:tblInd w:w="1313" w:type="dxa"/>
        <w:tblCellMar>
          <w:left w:w="70" w:type="dxa"/>
          <w:right w:w="70" w:type="dxa"/>
        </w:tblCellMar>
        <w:tblLook w:val="04A0"/>
      </w:tblPr>
      <w:tblGrid>
        <w:gridCol w:w="1347"/>
        <w:gridCol w:w="1216"/>
        <w:gridCol w:w="1216"/>
        <w:gridCol w:w="1216"/>
        <w:gridCol w:w="1216"/>
      </w:tblGrid>
      <w:tr w:rsidR="00351D84" w:rsidRPr="00351D84" w:rsidTr="00351D84">
        <w:trPr>
          <w:trHeight w:val="300"/>
        </w:trPr>
        <w:tc>
          <w:tcPr>
            <w:tcW w:w="1347"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MES</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2016</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2017</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2018</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Var %</w:t>
            </w:r>
          </w:p>
        </w:tc>
      </w:tr>
      <w:tr w:rsidR="00351D84" w:rsidRPr="00351D84" w:rsidTr="00351D84">
        <w:trPr>
          <w:trHeight w:val="300"/>
        </w:trPr>
        <w:tc>
          <w:tcPr>
            <w:tcW w:w="1347"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Enero</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13</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12</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13</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8%</w:t>
            </w:r>
          </w:p>
        </w:tc>
      </w:tr>
      <w:tr w:rsidR="00351D84" w:rsidRPr="00351D84" w:rsidTr="00351D84">
        <w:trPr>
          <w:trHeight w:val="300"/>
        </w:trPr>
        <w:tc>
          <w:tcPr>
            <w:tcW w:w="1347"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Febrero</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4</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13</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18</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39%</w:t>
            </w:r>
          </w:p>
        </w:tc>
      </w:tr>
      <w:tr w:rsidR="00351D84" w:rsidRPr="00351D84" w:rsidTr="00351D84">
        <w:trPr>
          <w:trHeight w:val="300"/>
        </w:trPr>
        <w:tc>
          <w:tcPr>
            <w:tcW w:w="1347"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Marzo</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10</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11</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17</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55%</w:t>
            </w:r>
          </w:p>
        </w:tc>
      </w:tr>
      <w:tr w:rsidR="00351D84" w:rsidRPr="00351D84" w:rsidTr="00351D84">
        <w:trPr>
          <w:trHeight w:val="300"/>
        </w:trPr>
        <w:tc>
          <w:tcPr>
            <w:tcW w:w="1347"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Abril</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13</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21</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600%</w:t>
            </w:r>
          </w:p>
        </w:tc>
      </w:tr>
      <w:tr w:rsidR="00351D84" w:rsidRPr="00351D84" w:rsidTr="00351D84">
        <w:trPr>
          <w:trHeight w:val="300"/>
        </w:trPr>
        <w:tc>
          <w:tcPr>
            <w:tcW w:w="1347"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Mayo</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28</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11</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11</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r>
      <w:tr w:rsidR="00351D84" w:rsidRPr="00351D84" w:rsidTr="00351D84">
        <w:trPr>
          <w:trHeight w:val="300"/>
        </w:trPr>
        <w:tc>
          <w:tcPr>
            <w:tcW w:w="1347"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Junio</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17</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11</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17</w:t>
            </w:r>
          </w:p>
        </w:tc>
        <w:tc>
          <w:tcPr>
            <w:tcW w:w="1216" w:type="dxa"/>
            <w:tcBorders>
              <w:top w:val="nil"/>
              <w:left w:val="nil"/>
              <w:bottom w:val="nil"/>
              <w:right w:val="nil"/>
            </w:tcBorders>
            <w:shd w:val="clear" w:color="000000" w:fill="DCE6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55%</w:t>
            </w:r>
          </w:p>
        </w:tc>
      </w:tr>
      <w:tr w:rsidR="00351D84" w:rsidRPr="00351D84" w:rsidTr="00351D84">
        <w:trPr>
          <w:trHeight w:val="300"/>
        </w:trPr>
        <w:tc>
          <w:tcPr>
            <w:tcW w:w="1347"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Total I Semestre</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85</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61</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97</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 </w:t>
            </w:r>
          </w:p>
        </w:tc>
      </w:tr>
    </w:tbl>
    <w:p w:rsidR="00351D84" w:rsidRDefault="00351D84" w:rsidP="00351D84">
      <w:pPr>
        <w:ind w:left="708" w:firstLine="708"/>
        <w:rPr>
          <w:sz w:val="20"/>
          <w:szCs w:val="20"/>
        </w:rPr>
      </w:pPr>
      <w:r w:rsidRPr="00214238">
        <w:rPr>
          <w:sz w:val="20"/>
          <w:szCs w:val="20"/>
        </w:rPr>
        <w:t>Fuente: Portal de Transparencia</w:t>
      </w:r>
    </w:p>
    <w:p w:rsidR="00351D84" w:rsidRDefault="00351D84" w:rsidP="00D65D1C">
      <w:pPr>
        <w:ind w:left="360"/>
      </w:pPr>
    </w:p>
    <w:p w:rsidR="004560B7" w:rsidRDefault="004560B7" w:rsidP="00D65D1C">
      <w:pPr>
        <w:ind w:left="360"/>
      </w:pPr>
    </w:p>
    <w:p w:rsidR="004560B7" w:rsidRDefault="004560B7" w:rsidP="00D65D1C">
      <w:pPr>
        <w:ind w:left="360"/>
      </w:pPr>
    </w:p>
    <w:p w:rsidR="00351D84" w:rsidRDefault="00351D84" w:rsidP="00D65D1C">
      <w:pPr>
        <w:ind w:left="360"/>
      </w:pPr>
      <w:r w:rsidRPr="00351D84">
        <w:rPr>
          <w:noProof/>
          <w:lang w:eastAsia="es-ES"/>
        </w:rPr>
        <w:drawing>
          <wp:inline distT="0" distB="0" distL="0" distR="0">
            <wp:extent cx="4572000" cy="2743200"/>
            <wp:effectExtent l="19050" t="0" r="1905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1D84" w:rsidRDefault="009071B2" w:rsidP="00DF6E8A">
      <w:pPr>
        <w:ind w:left="360" w:firstLine="348"/>
        <w:rPr>
          <w:b/>
        </w:rPr>
      </w:pPr>
      <w:r w:rsidRPr="009071B2">
        <w:rPr>
          <w:b/>
        </w:rPr>
        <w:lastRenderedPageBreak/>
        <w:t>Etapa de ejecución</w:t>
      </w:r>
    </w:p>
    <w:tbl>
      <w:tblPr>
        <w:tblW w:w="7224" w:type="dxa"/>
        <w:tblInd w:w="806" w:type="dxa"/>
        <w:tblCellMar>
          <w:left w:w="70" w:type="dxa"/>
          <w:right w:w="70" w:type="dxa"/>
        </w:tblCellMar>
        <w:tblLook w:val="04A0"/>
      </w:tblPr>
      <w:tblGrid>
        <w:gridCol w:w="3576"/>
        <w:gridCol w:w="1216"/>
        <w:gridCol w:w="1216"/>
        <w:gridCol w:w="1216"/>
      </w:tblGrid>
      <w:tr w:rsidR="00BE74CD" w:rsidRPr="00BE74CD" w:rsidTr="00BE74CD">
        <w:trPr>
          <w:trHeight w:val="300"/>
        </w:trPr>
        <w:tc>
          <w:tcPr>
            <w:tcW w:w="357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ETAPA</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2016</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2017</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2018</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Etapa de cumplimiento</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84</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58</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86</w:t>
            </w:r>
          </w:p>
        </w:tc>
      </w:tr>
      <w:tr w:rsidR="00BE74CD" w:rsidRPr="00BE74CD" w:rsidTr="00BE74CD">
        <w:trPr>
          <w:trHeight w:val="300"/>
        </w:trPr>
        <w:tc>
          <w:tcPr>
            <w:tcW w:w="357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No es SAI / desistida/anulada</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1</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3</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4</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Espera pago costos de reproducción</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3</w:t>
            </w:r>
          </w:p>
        </w:tc>
      </w:tr>
      <w:tr w:rsidR="00BE74CD" w:rsidRPr="00BE74CD" w:rsidTr="00BE74CD">
        <w:trPr>
          <w:trHeight w:val="300"/>
        </w:trPr>
        <w:tc>
          <w:tcPr>
            <w:tcW w:w="357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Derivadas</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1</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Análisis y Búsqueda</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3</w:t>
            </w:r>
          </w:p>
        </w:tc>
      </w:tr>
      <w:tr w:rsidR="00BE74CD" w:rsidRPr="00BE74CD" w:rsidTr="00BE74CD">
        <w:trPr>
          <w:trHeight w:val="300"/>
        </w:trPr>
        <w:tc>
          <w:tcPr>
            <w:tcW w:w="357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N° Solicitudes</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eastAsia="es-ES"/>
              </w:rPr>
              <w:t>85</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eastAsia="es-ES"/>
              </w:rPr>
              <w:t>61</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eastAsia="es-ES"/>
              </w:rPr>
              <w:t>97</w:t>
            </w:r>
          </w:p>
        </w:tc>
      </w:tr>
    </w:tbl>
    <w:p w:rsidR="006232B2" w:rsidRDefault="00702BE5" w:rsidP="00BE74CD">
      <w:pPr>
        <w:ind w:left="708" w:firstLine="708"/>
        <w:rPr>
          <w:sz w:val="20"/>
          <w:szCs w:val="20"/>
        </w:rPr>
      </w:pPr>
      <w:r w:rsidRPr="00214238">
        <w:rPr>
          <w:sz w:val="20"/>
          <w:szCs w:val="20"/>
        </w:rPr>
        <w:t>Fuente: Portal de Transparencia</w:t>
      </w:r>
    </w:p>
    <w:p w:rsidR="004A36B1" w:rsidRDefault="004A36B1" w:rsidP="00D65D1C">
      <w:pPr>
        <w:ind w:left="360"/>
        <w:rPr>
          <w:sz w:val="20"/>
          <w:szCs w:val="20"/>
        </w:rPr>
      </w:pPr>
    </w:p>
    <w:p w:rsidR="004560B7" w:rsidRDefault="004560B7" w:rsidP="00D65D1C">
      <w:pPr>
        <w:ind w:left="360"/>
        <w:rPr>
          <w:sz w:val="20"/>
          <w:szCs w:val="20"/>
        </w:rPr>
      </w:pPr>
    </w:p>
    <w:p w:rsidR="004560B7" w:rsidRDefault="004560B7" w:rsidP="00D65D1C">
      <w:pPr>
        <w:ind w:left="360"/>
        <w:rPr>
          <w:sz w:val="20"/>
          <w:szCs w:val="20"/>
        </w:rPr>
      </w:pPr>
    </w:p>
    <w:p w:rsidR="004560B7" w:rsidRDefault="004560B7" w:rsidP="00D65D1C">
      <w:pPr>
        <w:ind w:left="360"/>
        <w:rPr>
          <w:sz w:val="20"/>
          <w:szCs w:val="20"/>
        </w:rPr>
      </w:pPr>
    </w:p>
    <w:p w:rsidR="00052D70" w:rsidRDefault="00351D84" w:rsidP="00D65D1C">
      <w:pPr>
        <w:ind w:left="360"/>
      </w:pPr>
      <w:r w:rsidRPr="00351D84">
        <w:rPr>
          <w:noProof/>
          <w:lang w:eastAsia="es-ES"/>
        </w:rPr>
        <w:drawing>
          <wp:inline distT="0" distB="0" distL="0" distR="0">
            <wp:extent cx="4572000" cy="2743200"/>
            <wp:effectExtent l="19050" t="0" r="19050" b="0"/>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60B7" w:rsidRDefault="004560B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BF38A0" w:rsidRDefault="009071B2" w:rsidP="00DF6E8A">
      <w:pPr>
        <w:ind w:firstLine="360"/>
        <w:rPr>
          <w:b/>
        </w:rPr>
      </w:pPr>
      <w:r w:rsidRPr="009071B2">
        <w:rPr>
          <w:b/>
        </w:rPr>
        <w:lastRenderedPageBreak/>
        <w:t>Derivación a Unidades</w:t>
      </w:r>
    </w:p>
    <w:p w:rsidR="004560B7" w:rsidRDefault="004560B7" w:rsidP="00DF6E8A">
      <w:pPr>
        <w:ind w:firstLine="360"/>
        <w:rPr>
          <w:b/>
        </w:rPr>
      </w:pPr>
    </w:p>
    <w:tbl>
      <w:tblPr>
        <w:tblW w:w="8736" w:type="dxa"/>
        <w:tblInd w:w="70" w:type="dxa"/>
        <w:tblCellMar>
          <w:left w:w="70" w:type="dxa"/>
          <w:right w:w="70" w:type="dxa"/>
        </w:tblCellMar>
        <w:tblLook w:val="04A0"/>
      </w:tblPr>
      <w:tblGrid>
        <w:gridCol w:w="3500"/>
        <w:gridCol w:w="186"/>
        <w:gridCol w:w="186"/>
        <w:gridCol w:w="1216"/>
        <w:gridCol w:w="1216"/>
        <w:gridCol w:w="1216"/>
        <w:gridCol w:w="1216"/>
      </w:tblGrid>
      <w:tr w:rsidR="00351D84" w:rsidRPr="00351D84" w:rsidTr="009071B2">
        <w:trPr>
          <w:trHeight w:val="300"/>
        </w:trPr>
        <w:tc>
          <w:tcPr>
            <w:tcW w:w="3872" w:type="dxa"/>
            <w:gridSpan w:val="3"/>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Unidad</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2016</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2017</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Año 2018</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Var. %</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Administración y Finanzas</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9</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4</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14</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250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Asesoría Jurídica</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6</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4</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33</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DIDECO</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8</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15</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12</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-20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Departamento de Educación</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21</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6</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13</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117</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Salud</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7</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133</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Tránsito</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4</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 </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5</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100</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Aseo y Ornato</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2</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6</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15</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150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DOM</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8</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10</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9</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-10</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Oficina de Transparencia</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13</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lang w:eastAsia="es-ES"/>
              </w:rPr>
            </w:pP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lang w:eastAsia="es-ES"/>
              </w:rPr>
            </w:pP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RRHH</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9</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9</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14</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56</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RRPP</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5</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4</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33</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SECPLA</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2</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5</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400</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Control</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0</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Secretaría Municipal</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2</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3</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3</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0</w:t>
            </w:r>
          </w:p>
        </w:tc>
      </w:tr>
      <w:tr w:rsidR="00351D84" w:rsidRPr="00351D84" w:rsidTr="009071B2">
        <w:trPr>
          <w:trHeight w:val="300"/>
        </w:trPr>
        <w:tc>
          <w:tcPr>
            <w:tcW w:w="3872" w:type="dxa"/>
            <w:gridSpan w:val="3"/>
            <w:tcBorders>
              <w:top w:val="nil"/>
              <w:left w:val="nil"/>
              <w:bottom w:val="nil"/>
              <w:right w:val="nil"/>
            </w:tcBorders>
            <w:shd w:val="clear" w:color="auto" w:fill="auto"/>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Administración Municipal</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1</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2</w:t>
            </w:r>
          </w:p>
        </w:tc>
        <w:tc>
          <w:tcPr>
            <w:tcW w:w="1216" w:type="dxa"/>
            <w:tcBorders>
              <w:top w:val="nil"/>
              <w:left w:val="nil"/>
              <w:bottom w:val="nil"/>
              <w:right w:val="nil"/>
            </w:tcBorders>
            <w:shd w:val="clear" w:color="auto" w:fill="auto"/>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100</w:t>
            </w:r>
          </w:p>
        </w:tc>
      </w:tr>
      <w:tr w:rsidR="00351D84" w:rsidRPr="00351D84" w:rsidTr="009071B2">
        <w:trPr>
          <w:trHeight w:val="300"/>
        </w:trPr>
        <w:tc>
          <w:tcPr>
            <w:tcW w:w="3872" w:type="dxa"/>
            <w:gridSpan w:val="3"/>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Juzgado de Policía Local</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0</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center"/>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eastAsia="es-ES"/>
              </w:rPr>
              <w:t>0</w:t>
            </w:r>
          </w:p>
        </w:tc>
        <w:tc>
          <w:tcPr>
            <w:tcW w:w="1216" w:type="dxa"/>
            <w:tcBorders>
              <w:top w:val="nil"/>
              <w:left w:val="nil"/>
              <w:bottom w:val="nil"/>
              <w:right w:val="nil"/>
            </w:tcBorders>
            <w:shd w:val="clear" w:color="000000" w:fill="DBE5F1"/>
            <w:noWrap/>
            <w:vAlign w:val="bottom"/>
            <w:hideMark/>
          </w:tcPr>
          <w:p w:rsidR="00351D84" w:rsidRPr="00351D84" w:rsidRDefault="00351D84" w:rsidP="00351D84">
            <w:pPr>
              <w:spacing w:after="0" w:line="240" w:lineRule="auto"/>
              <w:jc w:val="right"/>
              <w:rPr>
                <w:rFonts w:ascii="Calibri" w:eastAsia="Times New Roman" w:hAnsi="Calibri" w:cs="Times New Roman"/>
                <w:color w:val="000000"/>
                <w:lang w:eastAsia="es-ES"/>
              </w:rPr>
            </w:pPr>
            <w:r w:rsidRPr="00351D84">
              <w:rPr>
                <w:rFonts w:ascii="Calibri" w:eastAsia="Times New Roman" w:hAnsi="Calibri" w:cs="Times New Roman"/>
                <w:color w:val="000000"/>
                <w:lang w:eastAsia="es-ES"/>
              </w:rPr>
              <w:t>0</w:t>
            </w:r>
          </w:p>
        </w:tc>
      </w:tr>
      <w:tr w:rsidR="00351D84" w:rsidRPr="00351D84" w:rsidTr="009071B2">
        <w:trPr>
          <w:trHeight w:val="300"/>
        </w:trPr>
        <w:tc>
          <w:tcPr>
            <w:tcW w:w="3500"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Total SAI Gestionadas por unidad</w:t>
            </w:r>
          </w:p>
        </w:tc>
        <w:tc>
          <w:tcPr>
            <w:tcW w:w="18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 </w:t>
            </w:r>
          </w:p>
        </w:tc>
        <w:tc>
          <w:tcPr>
            <w:tcW w:w="18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 </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90</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64</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107</w:t>
            </w:r>
          </w:p>
        </w:tc>
        <w:tc>
          <w:tcPr>
            <w:tcW w:w="1216" w:type="dxa"/>
            <w:tcBorders>
              <w:top w:val="nil"/>
              <w:left w:val="nil"/>
              <w:bottom w:val="nil"/>
              <w:right w:val="nil"/>
            </w:tcBorders>
            <w:shd w:val="clear" w:color="000000" w:fill="4F81BD"/>
            <w:noWrap/>
            <w:vAlign w:val="bottom"/>
            <w:hideMark/>
          </w:tcPr>
          <w:p w:rsidR="00351D84" w:rsidRPr="00351D84" w:rsidRDefault="00351D84" w:rsidP="00351D84">
            <w:pPr>
              <w:spacing w:after="0" w:line="240" w:lineRule="auto"/>
              <w:jc w:val="center"/>
              <w:rPr>
                <w:rFonts w:ascii="Calibri" w:eastAsia="Times New Roman" w:hAnsi="Calibri" w:cs="Times New Roman"/>
                <w:color w:val="FFFFFF"/>
                <w:lang w:eastAsia="es-ES"/>
              </w:rPr>
            </w:pPr>
            <w:r w:rsidRPr="00351D84">
              <w:rPr>
                <w:rFonts w:ascii="Calibri" w:eastAsia="Times New Roman" w:hAnsi="Calibri" w:cs="Times New Roman"/>
                <w:color w:val="FFFFFF"/>
                <w:lang w:eastAsia="es-ES"/>
              </w:rPr>
              <w:t>67</w:t>
            </w:r>
          </w:p>
        </w:tc>
      </w:tr>
    </w:tbl>
    <w:p w:rsidR="00BF38A0" w:rsidRPr="00052D70" w:rsidRDefault="00351D84" w:rsidP="00351D84">
      <w:pPr>
        <w:rPr>
          <w:sz w:val="20"/>
          <w:szCs w:val="20"/>
        </w:rPr>
      </w:pPr>
      <w:r>
        <w:rPr>
          <w:sz w:val="20"/>
          <w:szCs w:val="20"/>
        </w:rPr>
        <w:t xml:space="preserve">      </w:t>
      </w:r>
      <w:r w:rsidR="00052D70" w:rsidRPr="00052D70">
        <w:rPr>
          <w:sz w:val="20"/>
          <w:szCs w:val="20"/>
        </w:rPr>
        <w:t>Fuente: Portal de Transparencia</w:t>
      </w:r>
    </w:p>
    <w:p w:rsidR="00BF38A0" w:rsidRDefault="00BF38A0" w:rsidP="00D65D1C">
      <w:pPr>
        <w:ind w:left="360"/>
      </w:pPr>
    </w:p>
    <w:p w:rsidR="004560B7" w:rsidRDefault="004560B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4560B7" w:rsidRDefault="004560B7" w:rsidP="00D65D1C">
      <w:pPr>
        <w:ind w:left="360"/>
      </w:pPr>
    </w:p>
    <w:p w:rsidR="00BF38A0" w:rsidRDefault="00351D84" w:rsidP="00D65D1C">
      <w:pPr>
        <w:ind w:left="360"/>
      </w:pPr>
      <w:r w:rsidRPr="00351D84">
        <w:rPr>
          <w:noProof/>
          <w:lang w:eastAsia="es-ES"/>
        </w:rPr>
        <w:drawing>
          <wp:inline distT="0" distB="0" distL="0" distR="0">
            <wp:extent cx="5612130" cy="4451350"/>
            <wp:effectExtent l="19050" t="0" r="26670" b="6350"/>
            <wp:docPr id="1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633B" w:rsidRDefault="003A633B" w:rsidP="00D65D1C">
      <w:pPr>
        <w:ind w:left="360"/>
      </w:pPr>
    </w:p>
    <w:p w:rsidR="00DF6E8A" w:rsidRDefault="00DF6E8A" w:rsidP="00D65D1C">
      <w:pPr>
        <w:ind w:left="360"/>
      </w:pPr>
    </w:p>
    <w:p w:rsidR="003A633B" w:rsidRPr="009071B2" w:rsidRDefault="009071B2" w:rsidP="00D65D1C">
      <w:pPr>
        <w:ind w:left="360"/>
        <w:rPr>
          <w:b/>
        </w:rPr>
      </w:pPr>
      <w:r w:rsidRPr="009071B2">
        <w:rPr>
          <w:b/>
        </w:rPr>
        <w:t>Amparos</w:t>
      </w:r>
    </w:p>
    <w:p w:rsidR="009071B2" w:rsidRPr="009071B2" w:rsidRDefault="009071B2" w:rsidP="009071B2">
      <w:pPr>
        <w:rPr>
          <w:rFonts w:ascii="Calibri" w:hAnsi="Calibri"/>
        </w:rPr>
      </w:pPr>
      <w:r w:rsidRPr="009071B2">
        <w:rPr>
          <w:rFonts w:ascii="Calibri" w:hAnsi="Calibri"/>
        </w:rPr>
        <w:t>No se han recibido amparos durante este periodo.</w:t>
      </w:r>
    </w:p>
    <w:p w:rsidR="009071B2" w:rsidRDefault="009071B2" w:rsidP="009071B2">
      <w:pPr>
        <w:ind w:firstLine="360"/>
        <w:rPr>
          <w:rFonts w:ascii="Calibri" w:hAnsi="Calibri"/>
          <w:b/>
        </w:rPr>
      </w:pPr>
    </w:p>
    <w:p w:rsidR="004560B7" w:rsidRDefault="004560B7" w:rsidP="009071B2">
      <w:pPr>
        <w:ind w:firstLine="360"/>
        <w:rPr>
          <w:rFonts w:ascii="Calibri" w:hAnsi="Calibri"/>
          <w:b/>
        </w:rPr>
      </w:pPr>
    </w:p>
    <w:p w:rsidR="004560B7" w:rsidRDefault="004560B7" w:rsidP="009071B2">
      <w:pPr>
        <w:ind w:firstLine="360"/>
        <w:rPr>
          <w:rFonts w:ascii="Calibri" w:hAnsi="Calibri"/>
          <w:b/>
        </w:rPr>
      </w:pPr>
    </w:p>
    <w:p w:rsidR="004560B7" w:rsidRDefault="004560B7" w:rsidP="009071B2">
      <w:pPr>
        <w:ind w:firstLine="360"/>
        <w:rPr>
          <w:rFonts w:ascii="Calibri" w:hAnsi="Calibri"/>
          <w:b/>
        </w:rPr>
      </w:pPr>
    </w:p>
    <w:p w:rsidR="004560B7" w:rsidRDefault="004560B7" w:rsidP="009071B2">
      <w:pPr>
        <w:ind w:firstLine="360"/>
        <w:rPr>
          <w:rFonts w:ascii="Calibri" w:hAnsi="Calibri"/>
          <w:b/>
        </w:rPr>
      </w:pPr>
    </w:p>
    <w:p w:rsidR="00907595" w:rsidRPr="00907595" w:rsidRDefault="004560B7" w:rsidP="00DF6E8A">
      <w:pPr>
        <w:rPr>
          <w:rFonts w:ascii="Calibri" w:hAnsi="Calibri"/>
          <w:b/>
        </w:rPr>
      </w:pPr>
      <w:r>
        <w:rPr>
          <w:rFonts w:ascii="Calibri" w:hAnsi="Calibri"/>
          <w:b/>
        </w:rPr>
        <w:lastRenderedPageBreak/>
        <w:t>L</w:t>
      </w:r>
      <w:r w:rsidR="00907595" w:rsidRPr="00907595">
        <w:rPr>
          <w:rFonts w:ascii="Calibri" w:hAnsi="Calibri"/>
          <w:b/>
        </w:rPr>
        <w:t xml:space="preserve">ey del Lobby </w:t>
      </w:r>
    </w:p>
    <w:p w:rsidR="00907595" w:rsidRDefault="00907595" w:rsidP="00907595">
      <w:pPr>
        <w:rPr>
          <w:rFonts w:ascii="Calibri" w:hAnsi="Calibri"/>
        </w:rPr>
      </w:pPr>
      <w:r>
        <w:rPr>
          <w:rFonts w:ascii="Calibri" w:hAnsi="Calibri"/>
        </w:rPr>
        <w:t>La plataforma de Lobby continúa con su normal funcionamiento sin nuevas incorporaciones, la que es gestionada directamente por los concejales y funcionarios afectos a la Ley.</w:t>
      </w:r>
    </w:p>
    <w:p w:rsidR="00907595" w:rsidRDefault="00907595" w:rsidP="00907595">
      <w:pPr>
        <w:rPr>
          <w:rFonts w:ascii="Calibri" w:hAnsi="Calibri"/>
          <w:noProof/>
          <w:lang w:eastAsia="es-ES"/>
        </w:rPr>
      </w:pPr>
      <w:r>
        <w:rPr>
          <w:rFonts w:ascii="Calibri" w:hAnsi="Calibri"/>
          <w:noProof/>
          <w:lang w:eastAsia="es-ES"/>
        </w:rPr>
        <w:t xml:space="preserve"> </w:t>
      </w:r>
      <w:r>
        <w:rPr>
          <w:rFonts w:ascii="Calibri" w:hAnsi="Calibri"/>
          <w:noProof/>
          <w:lang w:eastAsia="es-ES"/>
        </w:rPr>
        <w:drawing>
          <wp:inline distT="0" distB="0" distL="0" distR="0">
            <wp:extent cx="4907792" cy="2638615"/>
            <wp:effectExtent l="19050" t="0" r="7108" b="0"/>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909781" cy="2639685"/>
                    </a:xfrm>
                    <a:prstGeom prst="rect">
                      <a:avLst/>
                    </a:prstGeom>
                    <a:noFill/>
                    <a:ln w="9525">
                      <a:noFill/>
                      <a:miter lim="800000"/>
                      <a:headEnd/>
                      <a:tailEnd/>
                    </a:ln>
                  </pic:spPr>
                </pic:pic>
              </a:graphicData>
            </a:graphic>
          </wp:inline>
        </w:drawing>
      </w:r>
    </w:p>
    <w:p w:rsidR="00907595" w:rsidRDefault="00907595" w:rsidP="00907595">
      <w:pPr>
        <w:rPr>
          <w:rFonts w:ascii="Calibri" w:hAnsi="Calibri"/>
          <w:noProof/>
          <w:lang w:eastAsia="es-ES"/>
        </w:rPr>
      </w:pPr>
    </w:p>
    <w:p w:rsidR="004560B7" w:rsidRDefault="004560B7" w:rsidP="00907595">
      <w:pPr>
        <w:rPr>
          <w:rFonts w:ascii="Calibri" w:hAnsi="Calibri"/>
          <w:b/>
          <w:noProof/>
          <w:lang w:eastAsia="es-ES"/>
        </w:rPr>
      </w:pPr>
    </w:p>
    <w:p w:rsidR="00907595" w:rsidRDefault="00907595" w:rsidP="00907595">
      <w:pPr>
        <w:rPr>
          <w:rFonts w:ascii="Calibri" w:hAnsi="Calibri"/>
          <w:b/>
          <w:noProof/>
          <w:lang w:eastAsia="es-ES"/>
        </w:rPr>
      </w:pPr>
      <w:r>
        <w:rPr>
          <w:rFonts w:ascii="Calibri" w:hAnsi="Calibri"/>
          <w:b/>
          <w:noProof/>
          <w:lang w:eastAsia="es-ES"/>
        </w:rPr>
        <w:t>Declaraciones de Intereses y Patrimonios</w:t>
      </w:r>
    </w:p>
    <w:p w:rsidR="00907595" w:rsidRDefault="00907595" w:rsidP="00907595">
      <w:pPr>
        <w:rPr>
          <w:rFonts w:ascii="Calibri" w:hAnsi="Calibri"/>
        </w:rPr>
      </w:pPr>
      <w:r>
        <w:rPr>
          <w:rFonts w:ascii="Calibri" w:hAnsi="Calibri"/>
        </w:rPr>
        <w:t>Durante este periodo se ha realizado la incorporación de 17 nuevos perfiles para que aquellos funcionarios afectos a la Ley realicen su DIP.</w:t>
      </w:r>
    </w:p>
    <w:p w:rsidR="004560B7" w:rsidRDefault="004560B7" w:rsidP="00907595">
      <w:pPr>
        <w:rPr>
          <w:rFonts w:ascii="Calibri" w:hAnsi="Calibri"/>
        </w:rPr>
      </w:pPr>
    </w:p>
    <w:p w:rsidR="00907595" w:rsidRPr="00907595" w:rsidRDefault="00907595" w:rsidP="00907595">
      <w:pPr>
        <w:rPr>
          <w:rFonts w:ascii="Calibri" w:hAnsi="Calibri"/>
        </w:rPr>
      </w:pPr>
      <w:r>
        <w:rPr>
          <w:rFonts w:ascii="Calibri" w:hAnsi="Calibri"/>
          <w:noProof/>
          <w:lang w:eastAsia="es-ES"/>
        </w:rPr>
        <w:drawing>
          <wp:inline distT="0" distB="0" distL="0" distR="0">
            <wp:extent cx="4941750" cy="2782266"/>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941750" cy="2782266"/>
                    </a:xfrm>
                    <a:prstGeom prst="rect">
                      <a:avLst/>
                    </a:prstGeom>
                    <a:noFill/>
                    <a:ln w="9525">
                      <a:noFill/>
                      <a:miter lim="800000"/>
                      <a:headEnd/>
                      <a:tailEnd/>
                    </a:ln>
                  </pic:spPr>
                </pic:pic>
              </a:graphicData>
            </a:graphic>
          </wp:inline>
        </w:drawing>
      </w:r>
    </w:p>
    <w:p w:rsidR="004A36B1" w:rsidRDefault="004A36B1" w:rsidP="004A36B1">
      <w:pPr>
        <w:spacing w:after="0" w:line="240" w:lineRule="auto"/>
        <w:rPr>
          <w:sz w:val="20"/>
          <w:szCs w:val="20"/>
        </w:rPr>
      </w:pPr>
    </w:p>
    <w:p w:rsidR="00AA1B49" w:rsidRPr="00BE74CD" w:rsidRDefault="00AA1B49" w:rsidP="00DF6E8A">
      <w:pPr>
        <w:rPr>
          <w:b/>
        </w:rPr>
      </w:pPr>
      <w:r w:rsidRPr="00BE74CD">
        <w:rPr>
          <w:b/>
        </w:rPr>
        <w:t>Informe de Fiscalización 2017 Consejo para la Transparencia</w:t>
      </w:r>
    </w:p>
    <w:p w:rsidR="00AA1B49" w:rsidRDefault="00AA1B49" w:rsidP="00DF6E8A">
      <w:r>
        <w:t>Con fecha 14 de diciembre de 2017 es evacuado por parte del Consejo para la Transparencia el “Informe Fiscalización Proceso de Fiscalización “2017” Municipalidad de Casablanca”, cuyos resultados son los siguientes:</w:t>
      </w:r>
    </w:p>
    <w:p w:rsidR="00AA1B49" w:rsidRPr="00BE74CD" w:rsidRDefault="00AA1B49" w:rsidP="00AA1B49">
      <w:pPr>
        <w:ind w:left="360"/>
        <w:rPr>
          <w:b/>
        </w:rPr>
      </w:pPr>
      <w:r>
        <w:tab/>
      </w:r>
      <w:r>
        <w:rPr>
          <w:b/>
        </w:rPr>
        <w:t>Transparencia Activa</w:t>
      </w:r>
    </w:p>
    <w:p w:rsidR="00AA1B49" w:rsidRDefault="00AA1B49" w:rsidP="00AA1B49">
      <w:pPr>
        <w:spacing w:after="0"/>
        <w:ind w:left="360"/>
      </w:pPr>
      <w:r>
        <w:rPr>
          <w:noProof/>
          <w:lang w:eastAsia="es-ES"/>
        </w:rPr>
        <w:drawing>
          <wp:inline distT="0" distB="0" distL="0" distR="0">
            <wp:extent cx="5612130" cy="5710386"/>
            <wp:effectExtent l="19050" t="0" r="7620"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612130" cy="5710386"/>
                    </a:xfrm>
                    <a:prstGeom prst="rect">
                      <a:avLst/>
                    </a:prstGeom>
                    <a:noFill/>
                    <a:ln w="9525">
                      <a:noFill/>
                      <a:miter lim="800000"/>
                      <a:headEnd/>
                      <a:tailEnd/>
                    </a:ln>
                  </pic:spPr>
                </pic:pic>
              </a:graphicData>
            </a:graphic>
          </wp:inline>
        </w:drawing>
      </w:r>
    </w:p>
    <w:p w:rsidR="00AA1B49" w:rsidRPr="003A633B" w:rsidRDefault="00AA1B49" w:rsidP="00AA1B49">
      <w:pPr>
        <w:spacing w:after="0"/>
        <w:ind w:left="1068"/>
        <w:rPr>
          <w:sz w:val="20"/>
          <w:szCs w:val="20"/>
        </w:rPr>
      </w:pPr>
      <w:r w:rsidRPr="003A633B">
        <w:rPr>
          <w:sz w:val="20"/>
          <w:szCs w:val="20"/>
        </w:rPr>
        <w:t>Fuente: Informe Fiscalización Proceso de Fiscalización “2017” Municipalidad de Casablanca</w:t>
      </w:r>
    </w:p>
    <w:p w:rsidR="00AA1B49" w:rsidRDefault="00AA1B49" w:rsidP="00AA1B49">
      <w:pPr>
        <w:ind w:left="360"/>
      </w:pPr>
    </w:p>
    <w:p w:rsidR="00AA1B49" w:rsidRDefault="00AA1B49" w:rsidP="00AA1B49">
      <w:pPr>
        <w:ind w:left="360"/>
      </w:pPr>
    </w:p>
    <w:p w:rsidR="00AA1B49" w:rsidRDefault="00AA1B49" w:rsidP="00AA1B49">
      <w:pPr>
        <w:spacing w:after="0"/>
        <w:ind w:left="360"/>
      </w:pPr>
      <w:r>
        <w:rPr>
          <w:noProof/>
          <w:lang w:eastAsia="es-ES"/>
        </w:rPr>
        <w:lastRenderedPageBreak/>
        <w:drawing>
          <wp:inline distT="0" distB="0" distL="0" distR="0">
            <wp:extent cx="5612130" cy="2151597"/>
            <wp:effectExtent l="19050" t="0" r="7620" b="0"/>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12130" cy="2151597"/>
                    </a:xfrm>
                    <a:prstGeom prst="rect">
                      <a:avLst/>
                    </a:prstGeom>
                    <a:noFill/>
                    <a:ln w="9525">
                      <a:noFill/>
                      <a:miter lim="800000"/>
                      <a:headEnd/>
                      <a:tailEnd/>
                    </a:ln>
                  </pic:spPr>
                </pic:pic>
              </a:graphicData>
            </a:graphic>
          </wp:inline>
        </w:drawing>
      </w:r>
    </w:p>
    <w:p w:rsidR="00AA1B49" w:rsidRPr="003A633B" w:rsidRDefault="00AA1B49" w:rsidP="00AA1B49">
      <w:pPr>
        <w:spacing w:after="0"/>
        <w:ind w:left="1068"/>
        <w:rPr>
          <w:sz w:val="20"/>
          <w:szCs w:val="20"/>
        </w:rPr>
      </w:pPr>
      <w:r w:rsidRPr="003A633B">
        <w:rPr>
          <w:sz w:val="20"/>
          <w:szCs w:val="20"/>
        </w:rPr>
        <w:t>Fuente: Informe Fiscalización Proceso de Fiscalización “2017” Municipalidad de Casablanca</w:t>
      </w:r>
    </w:p>
    <w:p w:rsidR="00AA1B49" w:rsidRDefault="00770BEB" w:rsidP="00770BEB">
      <w:pPr>
        <w:tabs>
          <w:tab w:val="left" w:pos="6510"/>
        </w:tabs>
        <w:spacing w:after="0"/>
        <w:ind w:left="360"/>
      </w:pPr>
      <w:r>
        <w:tab/>
      </w:r>
    </w:p>
    <w:p w:rsidR="00AA1B49" w:rsidRDefault="00AA1B49" w:rsidP="00DF6E8A">
      <w:r>
        <w:t>Los resultados obtenidos en dicha fiscalización, son gracias al cumplimiento que tienen las diferentes unidades municipales, tanto en elaboración como envío de antecedentes para el levantamiento por parte de la Unidad de Transparencia al portal.</w:t>
      </w:r>
    </w:p>
    <w:p w:rsidR="00AA1B49" w:rsidRDefault="00AA1B49" w:rsidP="00AA1B49">
      <w:pPr>
        <w:ind w:left="360"/>
      </w:pPr>
    </w:p>
    <w:p w:rsidR="00AA1B49" w:rsidRPr="00BE74CD" w:rsidRDefault="00AA1B49" w:rsidP="00AA1B49">
      <w:pPr>
        <w:ind w:left="360"/>
        <w:rPr>
          <w:b/>
        </w:rPr>
      </w:pPr>
      <w:r w:rsidRPr="00BE74CD">
        <w:rPr>
          <w:b/>
        </w:rPr>
        <w:t>Acceso a la Información</w:t>
      </w:r>
    </w:p>
    <w:p w:rsidR="00AA1B49" w:rsidRDefault="00AA1B49" w:rsidP="00DF6E8A">
      <w:r>
        <w:t>En cuanto a los puntajes obtenidos de la fiscalización realizada a Derecho de Acceso a la Información los resultados son los siguientes:</w:t>
      </w:r>
    </w:p>
    <w:p w:rsidR="00AA1B49" w:rsidRDefault="00AA1B49" w:rsidP="00AA1B49">
      <w:pPr>
        <w:spacing w:after="0" w:line="240" w:lineRule="auto"/>
        <w:ind w:left="360"/>
      </w:pPr>
      <w:r>
        <w:rPr>
          <w:noProof/>
          <w:lang w:eastAsia="es-ES"/>
        </w:rPr>
        <w:drawing>
          <wp:inline distT="0" distB="0" distL="0" distR="0">
            <wp:extent cx="5550477" cy="1546365"/>
            <wp:effectExtent l="19050" t="0" r="0"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564281" cy="1550211"/>
                    </a:xfrm>
                    <a:prstGeom prst="rect">
                      <a:avLst/>
                    </a:prstGeom>
                    <a:noFill/>
                    <a:ln w="9525">
                      <a:noFill/>
                      <a:miter lim="800000"/>
                      <a:headEnd/>
                      <a:tailEnd/>
                    </a:ln>
                  </pic:spPr>
                </pic:pic>
              </a:graphicData>
            </a:graphic>
          </wp:inline>
        </w:drawing>
      </w:r>
    </w:p>
    <w:p w:rsidR="00AA1B49" w:rsidRDefault="00AA1B49" w:rsidP="00AA1B49">
      <w:pPr>
        <w:spacing w:after="0" w:line="240" w:lineRule="auto"/>
        <w:ind w:left="708"/>
        <w:rPr>
          <w:sz w:val="20"/>
          <w:szCs w:val="20"/>
        </w:rPr>
      </w:pPr>
      <w:r w:rsidRPr="00235932">
        <w:rPr>
          <w:sz w:val="20"/>
          <w:szCs w:val="20"/>
        </w:rPr>
        <w:t>Fuente: Informe de fiscalización Derecho de Acceso a la Información, de fecha 06 de Octubre de 2017</w:t>
      </w:r>
    </w:p>
    <w:p w:rsidR="00AA1B49" w:rsidRDefault="00AA1B49"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AA1B49" w:rsidRPr="00214238" w:rsidRDefault="00AA1B49" w:rsidP="00AA1B49">
      <w:pPr>
        <w:spacing w:after="0" w:line="240" w:lineRule="auto"/>
      </w:pPr>
      <w:r w:rsidRPr="00214238">
        <w:t>Puntajes históricos en Solicitudes de Acceso a la Información:</w:t>
      </w:r>
    </w:p>
    <w:p w:rsidR="00AA1B49" w:rsidRPr="00235932" w:rsidRDefault="004560B7" w:rsidP="00AA1B49">
      <w:pPr>
        <w:spacing w:after="0" w:line="240" w:lineRule="auto"/>
        <w:rPr>
          <w:sz w:val="20"/>
          <w:szCs w:val="20"/>
        </w:rPr>
      </w:pPr>
      <w:r>
        <w:rPr>
          <w:noProof/>
          <w:sz w:val="20"/>
          <w:szCs w:val="20"/>
          <w:lang w:eastAsia="es-ES"/>
        </w:rPr>
        <w:drawing>
          <wp:anchor distT="0" distB="0" distL="114300" distR="114300" simplePos="0" relativeHeight="251659264" behindDoc="0" locked="0" layoutInCell="1" allowOverlap="1">
            <wp:simplePos x="0" y="0"/>
            <wp:positionH relativeFrom="column">
              <wp:posOffset>672465</wp:posOffset>
            </wp:positionH>
            <wp:positionV relativeFrom="paragraph">
              <wp:posOffset>45085</wp:posOffset>
            </wp:positionV>
            <wp:extent cx="4160520" cy="1828800"/>
            <wp:effectExtent l="19050" t="0" r="0" b="0"/>
            <wp:wrapSquare wrapText="bothSides"/>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160520" cy="1828800"/>
                    </a:xfrm>
                    <a:prstGeom prst="rect">
                      <a:avLst/>
                    </a:prstGeom>
                    <a:noFill/>
                    <a:ln w="9525">
                      <a:noFill/>
                      <a:miter lim="800000"/>
                      <a:headEnd/>
                      <a:tailEnd/>
                    </a:ln>
                  </pic:spPr>
                </pic:pic>
              </a:graphicData>
            </a:graphic>
          </wp:anchor>
        </w:drawing>
      </w:r>
    </w:p>
    <w:p w:rsidR="00AA1B49" w:rsidRDefault="00AA1B49" w:rsidP="00AA1B49">
      <w:pPr>
        <w:spacing w:after="0"/>
        <w:ind w:left="360"/>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4560B7" w:rsidRDefault="004560B7" w:rsidP="00AA1B49">
      <w:pPr>
        <w:spacing w:after="0" w:line="240" w:lineRule="auto"/>
        <w:ind w:left="708"/>
        <w:rPr>
          <w:sz w:val="20"/>
          <w:szCs w:val="20"/>
        </w:rPr>
      </w:pPr>
    </w:p>
    <w:p w:rsidR="004560B7" w:rsidRDefault="004560B7" w:rsidP="00AA1B49">
      <w:pPr>
        <w:spacing w:after="0" w:line="240" w:lineRule="auto"/>
        <w:ind w:left="708"/>
        <w:rPr>
          <w:sz w:val="20"/>
          <w:szCs w:val="20"/>
        </w:rPr>
      </w:pPr>
    </w:p>
    <w:p w:rsidR="00AA1B49" w:rsidRDefault="00AA1B49" w:rsidP="00AA1B49">
      <w:pPr>
        <w:spacing w:after="0" w:line="240" w:lineRule="auto"/>
        <w:ind w:left="708"/>
        <w:rPr>
          <w:sz w:val="20"/>
          <w:szCs w:val="20"/>
        </w:rPr>
      </w:pPr>
    </w:p>
    <w:p w:rsidR="00AA1B49" w:rsidRDefault="00AA1B49" w:rsidP="00AA1B49">
      <w:pPr>
        <w:spacing w:after="0" w:line="240" w:lineRule="auto"/>
        <w:ind w:left="708"/>
        <w:rPr>
          <w:sz w:val="20"/>
          <w:szCs w:val="20"/>
        </w:rPr>
      </w:pPr>
      <w:r w:rsidRPr="00235932">
        <w:rPr>
          <w:sz w:val="20"/>
          <w:szCs w:val="20"/>
        </w:rPr>
        <w:t>Fuente: Informe de fiscalización Derecho de Acceso a la Información, de fecha 06 de Octubre de 2017</w:t>
      </w:r>
    </w:p>
    <w:p w:rsidR="00AA1B49" w:rsidRDefault="00AA1B49" w:rsidP="00AA1B49">
      <w:pPr>
        <w:rPr>
          <w:rFonts w:ascii="Calibri" w:hAnsi="Calibri"/>
        </w:rPr>
      </w:pPr>
    </w:p>
    <w:p w:rsidR="00AA1B49" w:rsidRDefault="00AA1B49" w:rsidP="00DF6E8A">
      <w:r>
        <w:t xml:space="preserve">Todas las Solicitudes de Acceso a la Información han sido respondidas en los plazos establecidos de acuerdo a las normativas vigentes. </w:t>
      </w:r>
    </w:p>
    <w:p w:rsidR="00DF6E8A" w:rsidRDefault="00DF6E8A" w:rsidP="00DF6E8A"/>
    <w:p w:rsidR="00DF6E8A" w:rsidRDefault="004560B7" w:rsidP="00DF6E8A">
      <w:pPr>
        <w:jc w:val="both"/>
        <w:rPr>
          <w:b/>
        </w:rPr>
      </w:pPr>
      <w:r w:rsidRPr="004560B7">
        <w:rPr>
          <w:b/>
        </w:rPr>
        <w:t>Objetivos Año 2018</w:t>
      </w:r>
    </w:p>
    <w:p w:rsidR="00DF6E8A" w:rsidRDefault="00DF6E8A" w:rsidP="00DF6E8A">
      <w:pPr>
        <w:pStyle w:val="Prrafodelista"/>
        <w:numPr>
          <w:ilvl w:val="0"/>
          <w:numId w:val="2"/>
        </w:numPr>
        <w:jc w:val="both"/>
      </w:pPr>
      <w:r>
        <w:t>Actualización del Decreto Alcaldicio Nº 2968/2015, a través del cual se designó a los funcionarios generadores y revisores de información de Transparencia Activa y Pasiva.</w:t>
      </w:r>
    </w:p>
    <w:p w:rsidR="00DF6E8A" w:rsidRDefault="00DF6E8A" w:rsidP="00DF6E8A">
      <w:pPr>
        <w:pStyle w:val="Prrafodelista"/>
        <w:numPr>
          <w:ilvl w:val="0"/>
          <w:numId w:val="2"/>
        </w:numPr>
        <w:jc w:val="both"/>
      </w:pPr>
      <w:r>
        <w:t>Capacitación en el manejo del portal para nuevos y antiguos generadores de información.</w:t>
      </w:r>
    </w:p>
    <w:p w:rsidR="004560B7" w:rsidRDefault="004560B7" w:rsidP="00DF6E8A">
      <w:pPr>
        <w:pStyle w:val="Prrafodelista"/>
        <w:numPr>
          <w:ilvl w:val="0"/>
          <w:numId w:val="2"/>
        </w:numPr>
        <w:jc w:val="both"/>
      </w:pPr>
      <w:r>
        <w:t>Actualización del Reglamento de Transparencia Municipal.</w:t>
      </w:r>
    </w:p>
    <w:p w:rsidR="00AA1B49" w:rsidRDefault="00AA1B49" w:rsidP="00DF6E8A">
      <w:pPr>
        <w:spacing w:after="0" w:line="240" w:lineRule="auto"/>
        <w:jc w:val="both"/>
        <w:rPr>
          <w:sz w:val="20"/>
          <w:szCs w:val="20"/>
        </w:rPr>
      </w:pPr>
    </w:p>
    <w:p w:rsidR="004A36B1" w:rsidRDefault="004A36B1" w:rsidP="004A36B1">
      <w:pPr>
        <w:spacing w:after="0" w:line="240" w:lineRule="auto"/>
      </w:pPr>
    </w:p>
    <w:p w:rsidR="004A36B1" w:rsidRDefault="004A36B1" w:rsidP="004A36B1">
      <w:pPr>
        <w:spacing w:after="0" w:line="240" w:lineRule="auto"/>
      </w:pPr>
    </w:p>
    <w:p w:rsidR="004A36B1" w:rsidRPr="004A36B1" w:rsidRDefault="00DF6E8A" w:rsidP="004A36B1">
      <w:pPr>
        <w:spacing w:after="0" w:line="240" w:lineRule="auto"/>
      </w:pPr>
      <w:r>
        <w:t>Sin otro particular, me despido,</w:t>
      </w:r>
    </w:p>
    <w:p w:rsidR="004A36B1" w:rsidRDefault="004A36B1" w:rsidP="004A36B1">
      <w:pPr>
        <w:spacing w:after="0" w:line="240" w:lineRule="auto"/>
        <w:rPr>
          <w:b/>
        </w:rPr>
      </w:pPr>
    </w:p>
    <w:p w:rsidR="004A36B1" w:rsidRDefault="004A36B1" w:rsidP="004A36B1">
      <w:pPr>
        <w:spacing w:after="0" w:line="240" w:lineRule="auto"/>
        <w:rPr>
          <w:b/>
        </w:rPr>
      </w:pPr>
    </w:p>
    <w:p w:rsidR="004A36B1" w:rsidRDefault="004A36B1" w:rsidP="004A36B1">
      <w:pPr>
        <w:spacing w:after="0" w:line="240" w:lineRule="auto"/>
        <w:rPr>
          <w:b/>
        </w:rPr>
      </w:pPr>
    </w:p>
    <w:p w:rsidR="004A36B1" w:rsidRPr="004A36B1" w:rsidRDefault="004A36B1" w:rsidP="004A36B1">
      <w:pPr>
        <w:spacing w:after="0" w:line="240" w:lineRule="auto"/>
        <w:rPr>
          <w:b/>
        </w:rPr>
      </w:pPr>
    </w:p>
    <w:p w:rsidR="004A36B1" w:rsidRPr="004A36B1" w:rsidRDefault="004A36B1" w:rsidP="004A36B1">
      <w:pPr>
        <w:spacing w:after="0" w:line="240" w:lineRule="auto"/>
        <w:jc w:val="center"/>
        <w:rPr>
          <w:b/>
        </w:rPr>
      </w:pPr>
      <w:r w:rsidRPr="004A36B1">
        <w:rPr>
          <w:b/>
        </w:rPr>
        <w:t>Laura Pulgar Aranda</w:t>
      </w:r>
    </w:p>
    <w:p w:rsidR="004A36B1" w:rsidRDefault="004A36B1" w:rsidP="004A36B1">
      <w:pPr>
        <w:spacing w:after="0" w:line="240" w:lineRule="auto"/>
        <w:jc w:val="center"/>
        <w:rPr>
          <w:b/>
        </w:rPr>
      </w:pPr>
      <w:r w:rsidRPr="004A36B1">
        <w:rPr>
          <w:b/>
        </w:rPr>
        <w:t>Encargada de Transparencia Municipal</w:t>
      </w:r>
    </w:p>
    <w:p w:rsidR="00A10B80" w:rsidRDefault="00A10B80" w:rsidP="004A36B1">
      <w:pPr>
        <w:spacing w:after="0" w:line="240" w:lineRule="auto"/>
        <w:jc w:val="center"/>
        <w:rPr>
          <w:b/>
        </w:rPr>
      </w:pPr>
    </w:p>
    <w:p w:rsidR="004A36B1" w:rsidRDefault="004A36B1" w:rsidP="004A36B1">
      <w:pPr>
        <w:spacing w:after="0" w:line="240" w:lineRule="auto"/>
        <w:jc w:val="center"/>
        <w:rPr>
          <w:b/>
        </w:rPr>
      </w:pPr>
    </w:p>
    <w:p w:rsidR="004A36B1" w:rsidRPr="004A36B1" w:rsidRDefault="004A36B1" w:rsidP="004A36B1">
      <w:pPr>
        <w:spacing w:after="0" w:line="240" w:lineRule="auto"/>
        <w:jc w:val="both"/>
      </w:pPr>
      <w:r w:rsidRPr="004A36B1">
        <w:t xml:space="preserve">Casablanca, </w:t>
      </w:r>
      <w:r w:rsidR="009071B2">
        <w:t>Julio</w:t>
      </w:r>
      <w:r w:rsidRPr="004A36B1">
        <w:t xml:space="preserve"> de 2018.</w:t>
      </w:r>
    </w:p>
    <w:p w:rsidR="00702BE5" w:rsidRPr="004A36B1" w:rsidRDefault="00702BE5" w:rsidP="00D65D1C">
      <w:pPr>
        <w:ind w:left="360"/>
      </w:pPr>
    </w:p>
    <w:p w:rsidR="00702BE5" w:rsidRPr="004A36B1" w:rsidRDefault="00702BE5" w:rsidP="00D65D1C">
      <w:pPr>
        <w:ind w:left="360"/>
      </w:pPr>
    </w:p>
    <w:sectPr w:rsidR="00702BE5" w:rsidRPr="004A36B1" w:rsidSect="004A36B1">
      <w:headerReference w:type="default" r:id="rId17"/>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6E" w:rsidRDefault="0004796E" w:rsidP="007B641F">
      <w:pPr>
        <w:spacing w:after="0" w:line="240" w:lineRule="auto"/>
      </w:pPr>
      <w:r>
        <w:separator/>
      </w:r>
    </w:p>
  </w:endnote>
  <w:endnote w:type="continuationSeparator" w:id="1">
    <w:p w:rsidR="0004796E" w:rsidRDefault="0004796E" w:rsidP="007B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5146"/>
      <w:docPartObj>
        <w:docPartGallery w:val="Page Numbers (Bottom of Page)"/>
        <w:docPartUnique/>
      </w:docPartObj>
    </w:sdtPr>
    <w:sdtContent>
      <w:p w:rsidR="00351D84" w:rsidRDefault="004231BE">
        <w:pPr>
          <w:pStyle w:val="Piedepgina"/>
          <w:jc w:val="right"/>
        </w:pPr>
        <w:fldSimple w:instr=" PAGE   \* MERGEFORMAT ">
          <w:r w:rsidR="0094097A">
            <w:rPr>
              <w:noProof/>
            </w:rPr>
            <w:t>3</w:t>
          </w:r>
        </w:fldSimple>
      </w:p>
    </w:sdtContent>
  </w:sdt>
  <w:p w:rsidR="00351D84" w:rsidRDefault="00351D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6E" w:rsidRDefault="0004796E" w:rsidP="007B641F">
      <w:pPr>
        <w:spacing w:after="0" w:line="240" w:lineRule="auto"/>
      </w:pPr>
      <w:r>
        <w:separator/>
      </w:r>
    </w:p>
  </w:footnote>
  <w:footnote w:type="continuationSeparator" w:id="1">
    <w:p w:rsidR="0004796E" w:rsidRDefault="0004796E" w:rsidP="007B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84" w:rsidRDefault="00351D84" w:rsidP="00A10B80">
    <w:pPr>
      <w:pStyle w:val="Encabezado"/>
      <w:jc w:val="right"/>
    </w:pPr>
    <w:r>
      <w:t>Informe I Semestre año 2018</w:t>
    </w:r>
  </w:p>
  <w:p w:rsidR="00351D84" w:rsidRDefault="00351D84" w:rsidP="00A10B80">
    <w:pPr>
      <w:pStyle w:val="Encabezado"/>
      <w:jc w:val="right"/>
    </w:pPr>
    <w:r>
      <w:t>Unidad de Transparencia Municipal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765CD"/>
    <w:multiLevelType w:val="hybridMultilevel"/>
    <w:tmpl w:val="7BAE6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6B7152F"/>
    <w:multiLevelType w:val="hybridMultilevel"/>
    <w:tmpl w:val="BB380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D0F03"/>
    <w:rsid w:val="00046641"/>
    <w:rsid w:val="0004796E"/>
    <w:rsid w:val="00052D70"/>
    <w:rsid w:val="000B6161"/>
    <w:rsid w:val="000C5B0D"/>
    <w:rsid w:val="001021D8"/>
    <w:rsid w:val="00214238"/>
    <w:rsid w:val="00235932"/>
    <w:rsid w:val="0028630C"/>
    <w:rsid w:val="002E6184"/>
    <w:rsid w:val="002F1C09"/>
    <w:rsid w:val="00346935"/>
    <w:rsid w:val="00351D84"/>
    <w:rsid w:val="00381030"/>
    <w:rsid w:val="003A633B"/>
    <w:rsid w:val="004231BE"/>
    <w:rsid w:val="00437A1A"/>
    <w:rsid w:val="004431F5"/>
    <w:rsid w:val="004560B7"/>
    <w:rsid w:val="004A36B1"/>
    <w:rsid w:val="004C074A"/>
    <w:rsid w:val="00530B95"/>
    <w:rsid w:val="006232B2"/>
    <w:rsid w:val="00640B71"/>
    <w:rsid w:val="0064646D"/>
    <w:rsid w:val="006D0F03"/>
    <w:rsid w:val="00702BE5"/>
    <w:rsid w:val="007339D7"/>
    <w:rsid w:val="00770BEB"/>
    <w:rsid w:val="00794709"/>
    <w:rsid w:val="007B641F"/>
    <w:rsid w:val="00871AD8"/>
    <w:rsid w:val="009071B2"/>
    <w:rsid w:val="00907595"/>
    <w:rsid w:val="0091391A"/>
    <w:rsid w:val="0094097A"/>
    <w:rsid w:val="009C6F3E"/>
    <w:rsid w:val="00A10B80"/>
    <w:rsid w:val="00AA1B49"/>
    <w:rsid w:val="00B257FC"/>
    <w:rsid w:val="00BE74CD"/>
    <w:rsid w:val="00BF38A0"/>
    <w:rsid w:val="00D42BDC"/>
    <w:rsid w:val="00D65D1C"/>
    <w:rsid w:val="00DB77E4"/>
    <w:rsid w:val="00DC3EFA"/>
    <w:rsid w:val="00DD3C3C"/>
    <w:rsid w:val="00DF6E8A"/>
    <w:rsid w:val="00EB14CE"/>
    <w:rsid w:val="00F517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61"/>
    <w:pPr>
      <w:ind w:left="720"/>
      <w:contextualSpacing/>
    </w:pPr>
  </w:style>
  <w:style w:type="character" w:customStyle="1" w:styleId="tematitle1">
    <w:name w:val="tema_title1"/>
    <w:basedOn w:val="Fuentedeprrafopredeter"/>
    <w:rsid w:val="0091391A"/>
    <w:rPr>
      <w:rFonts w:ascii="Open Sans" w:hAnsi="Open Sans" w:hint="default"/>
      <w:sz w:val="21"/>
      <w:szCs w:val="21"/>
    </w:rPr>
  </w:style>
  <w:style w:type="paragraph" w:styleId="Encabezado">
    <w:name w:val="header"/>
    <w:basedOn w:val="Normal"/>
    <w:link w:val="EncabezadoCar"/>
    <w:uiPriority w:val="99"/>
    <w:unhideWhenUsed/>
    <w:rsid w:val="007B6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41F"/>
  </w:style>
  <w:style w:type="paragraph" w:styleId="Piedepgina">
    <w:name w:val="footer"/>
    <w:basedOn w:val="Normal"/>
    <w:link w:val="PiedepginaCar"/>
    <w:uiPriority w:val="99"/>
    <w:unhideWhenUsed/>
    <w:rsid w:val="007B6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41F"/>
  </w:style>
  <w:style w:type="paragraph" w:styleId="Textodeglobo">
    <w:name w:val="Balloon Text"/>
    <w:basedOn w:val="Normal"/>
    <w:link w:val="TextodegloboCar"/>
    <w:uiPriority w:val="99"/>
    <w:semiHidden/>
    <w:unhideWhenUsed/>
    <w:rsid w:val="007B6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41F"/>
    <w:rPr>
      <w:rFonts w:ascii="Tahoma" w:hAnsi="Tahoma" w:cs="Tahoma"/>
      <w:sz w:val="16"/>
      <w:szCs w:val="16"/>
    </w:rPr>
  </w:style>
  <w:style w:type="table" w:styleId="Tablaconcuadrcula">
    <w:name w:val="Table Grid"/>
    <w:basedOn w:val="Tablanormal"/>
    <w:uiPriority w:val="59"/>
    <w:rsid w:val="00623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65735">
      <w:bodyDiv w:val="1"/>
      <w:marLeft w:val="0"/>
      <w:marRight w:val="0"/>
      <w:marTop w:val="0"/>
      <w:marBottom w:val="0"/>
      <w:divBdr>
        <w:top w:val="none" w:sz="0" w:space="0" w:color="auto"/>
        <w:left w:val="none" w:sz="0" w:space="0" w:color="auto"/>
        <w:bottom w:val="none" w:sz="0" w:space="0" w:color="auto"/>
        <w:right w:val="none" w:sz="0" w:space="0" w:color="auto"/>
      </w:divBdr>
    </w:div>
    <w:div w:id="617302850">
      <w:bodyDiv w:val="1"/>
      <w:marLeft w:val="0"/>
      <w:marRight w:val="0"/>
      <w:marTop w:val="0"/>
      <w:marBottom w:val="0"/>
      <w:divBdr>
        <w:top w:val="none" w:sz="0" w:space="0" w:color="auto"/>
        <w:left w:val="none" w:sz="0" w:space="0" w:color="auto"/>
        <w:bottom w:val="none" w:sz="0" w:space="0" w:color="auto"/>
        <w:right w:val="none" w:sz="0" w:space="0" w:color="auto"/>
      </w:divBdr>
    </w:div>
    <w:div w:id="1086266009">
      <w:bodyDiv w:val="1"/>
      <w:marLeft w:val="0"/>
      <w:marRight w:val="0"/>
      <w:marTop w:val="0"/>
      <w:marBottom w:val="0"/>
      <w:divBdr>
        <w:top w:val="none" w:sz="0" w:space="0" w:color="auto"/>
        <w:left w:val="none" w:sz="0" w:space="0" w:color="auto"/>
        <w:bottom w:val="none" w:sz="0" w:space="0" w:color="auto"/>
        <w:right w:val="none" w:sz="0" w:space="0" w:color="auto"/>
      </w:divBdr>
    </w:div>
    <w:div w:id="15711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lpulgar\Documents\TRANSPARENCIA%202018\INFORME%20PRIMER%20SEMESTRE%202018\DATOS%20PRIMER%20SEMESTRE%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pulgar\Documents\TRANSPARENCIA%202018\INFORME%20PRIMER%20SEMESTRE%202018\DATOS%20PRIMER%20SEMEST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pulgar\Documents\TRANSPARENCIA%202018\INFORME%20PRIMER%20SEMESTRE%202018\DATOS%20PRIMER%20SEMEST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bar3DChart>
        <c:barDir val="col"/>
        <c:grouping val="clustered"/>
        <c:ser>
          <c:idx val="0"/>
          <c:order val="0"/>
          <c:tx>
            <c:v>Enero</c:v>
          </c:tx>
          <c:val>
            <c:numRef>
              <c:f>'SAI MENSUALES'!$B$2:$D$2</c:f>
              <c:numCache>
                <c:formatCode>General</c:formatCode>
                <c:ptCount val="3"/>
                <c:pt idx="0">
                  <c:v>13</c:v>
                </c:pt>
                <c:pt idx="1">
                  <c:v>12</c:v>
                </c:pt>
                <c:pt idx="2">
                  <c:v>13</c:v>
                </c:pt>
              </c:numCache>
            </c:numRef>
          </c:val>
        </c:ser>
        <c:ser>
          <c:idx val="1"/>
          <c:order val="1"/>
          <c:tx>
            <c:v>Febrero</c:v>
          </c:tx>
          <c:val>
            <c:numRef>
              <c:f>'SAI MENSUALES'!$B$3:$D$3</c:f>
              <c:numCache>
                <c:formatCode>General</c:formatCode>
                <c:ptCount val="3"/>
                <c:pt idx="0">
                  <c:v>4</c:v>
                </c:pt>
                <c:pt idx="1">
                  <c:v>13</c:v>
                </c:pt>
                <c:pt idx="2">
                  <c:v>18</c:v>
                </c:pt>
              </c:numCache>
            </c:numRef>
          </c:val>
        </c:ser>
        <c:ser>
          <c:idx val="2"/>
          <c:order val="2"/>
          <c:tx>
            <c:v>Marzo</c:v>
          </c:tx>
          <c:val>
            <c:numRef>
              <c:f>'SAI MENSUALES'!$B$4:$D$4</c:f>
              <c:numCache>
                <c:formatCode>General</c:formatCode>
                <c:ptCount val="3"/>
                <c:pt idx="0">
                  <c:v>10</c:v>
                </c:pt>
                <c:pt idx="1">
                  <c:v>11</c:v>
                </c:pt>
                <c:pt idx="2">
                  <c:v>17</c:v>
                </c:pt>
              </c:numCache>
            </c:numRef>
          </c:val>
        </c:ser>
        <c:ser>
          <c:idx val="3"/>
          <c:order val="3"/>
          <c:tx>
            <c:v>Abril</c:v>
          </c:tx>
          <c:val>
            <c:numRef>
              <c:f>'SAI MENSUALES'!$B$5:$D$5</c:f>
              <c:numCache>
                <c:formatCode>General</c:formatCode>
                <c:ptCount val="3"/>
                <c:pt idx="0">
                  <c:v>13</c:v>
                </c:pt>
                <c:pt idx="1">
                  <c:v>3</c:v>
                </c:pt>
                <c:pt idx="2">
                  <c:v>21</c:v>
                </c:pt>
              </c:numCache>
            </c:numRef>
          </c:val>
        </c:ser>
        <c:ser>
          <c:idx val="4"/>
          <c:order val="4"/>
          <c:tx>
            <c:v>Mayo</c:v>
          </c:tx>
          <c:val>
            <c:numRef>
              <c:f>'SAI MENSUALES'!$B$6:$D$6</c:f>
              <c:numCache>
                <c:formatCode>General</c:formatCode>
                <c:ptCount val="3"/>
                <c:pt idx="0">
                  <c:v>28</c:v>
                </c:pt>
                <c:pt idx="1">
                  <c:v>11</c:v>
                </c:pt>
                <c:pt idx="2">
                  <c:v>11</c:v>
                </c:pt>
              </c:numCache>
            </c:numRef>
          </c:val>
        </c:ser>
        <c:ser>
          <c:idx val="5"/>
          <c:order val="5"/>
          <c:tx>
            <c:v>Junio</c:v>
          </c:tx>
          <c:val>
            <c:numRef>
              <c:f>'SAI MENSUALES'!$B$7:$D$7</c:f>
              <c:numCache>
                <c:formatCode>General</c:formatCode>
                <c:ptCount val="3"/>
                <c:pt idx="0">
                  <c:v>17</c:v>
                </c:pt>
                <c:pt idx="1">
                  <c:v>11</c:v>
                </c:pt>
                <c:pt idx="2">
                  <c:v>17</c:v>
                </c:pt>
              </c:numCache>
            </c:numRef>
          </c:val>
        </c:ser>
        <c:shape val="box"/>
        <c:axId val="97777536"/>
        <c:axId val="123654528"/>
        <c:axId val="0"/>
      </c:bar3DChart>
      <c:catAx>
        <c:axId val="97777536"/>
        <c:scaling>
          <c:orientation val="minMax"/>
        </c:scaling>
        <c:axPos val="b"/>
        <c:tickLblPos val="nextTo"/>
        <c:crossAx val="123654528"/>
        <c:crosses val="autoZero"/>
        <c:auto val="1"/>
        <c:lblAlgn val="ctr"/>
        <c:lblOffset val="100"/>
      </c:catAx>
      <c:valAx>
        <c:axId val="123654528"/>
        <c:scaling>
          <c:orientation val="minMax"/>
        </c:scaling>
        <c:axPos val="l"/>
        <c:majorGridlines/>
        <c:numFmt formatCode="General" sourceLinked="1"/>
        <c:tickLblPos val="nextTo"/>
        <c:crossAx val="977775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8.1710629921259867E-2"/>
          <c:y val="7.4548702245552642E-2"/>
          <c:w val="0.5941517935258096"/>
          <c:h val="0.68521580635753865"/>
        </c:manualLayout>
      </c:layout>
      <c:bar3DChart>
        <c:barDir val="col"/>
        <c:grouping val="clustered"/>
        <c:ser>
          <c:idx val="0"/>
          <c:order val="0"/>
          <c:tx>
            <c:v>Cumplimiento</c:v>
          </c:tx>
          <c:val>
            <c:numRef>
              <c:f>TRATAMIENTO!$B$3:$D$3</c:f>
              <c:numCache>
                <c:formatCode>General</c:formatCode>
                <c:ptCount val="3"/>
                <c:pt idx="0">
                  <c:v>84</c:v>
                </c:pt>
                <c:pt idx="1">
                  <c:v>58</c:v>
                </c:pt>
                <c:pt idx="2">
                  <c:v>86</c:v>
                </c:pt>
              </c:numCache>
            </c:numRef>
          </c:val>
        </c:ser>
        <c:ser>
          <c:idx val="1"/>
          <c:order val="1"/>
          <c:tx>
            <c:v>No es SAI/desistida</c:v>
          </c:tx>
          <c:val>
            <c:numRef>
              <c:f>TRATAMIENTO!$B$4:$D$4</c:f>
              <c:numCache>
                <c:formatCode>General</c:formatCode>
                <c:ptCount val="3"/>
                <c:pt idx="0">
                  <c:v>1</c:v>
                </c:pt>
                <c:pt idx="1">
                  <c:v>3</c:v>
                </c:pt>
                <c:pt idx="2">
                  <c:v>4</c:v>
                </c:pt>
              </c:numCache>
            </c:numRef>
          </c:val>
        </c:ser>
        <c:ser>
          <c:idx val="2"/>
          <c:order val="2"/>
          <c:tx>
            <c:v>Espera pagos costos reproducción</c:v>
          </c:tx>
          <c:val>
            <c:numRef>
              <c:f>TRATAMIENTO!$B$5:$D$5</c:f>
              <c:numCache>
                <c:formatCode>General</c:formatCode>
                <c:ptCount val="3"/>
                <c:pt idx="0">
                  <c:v>0</c:v>
                </c:pt>
                <c:pt idx="1">
                  <c:v>0</c:v>
                </c:pt>
                <c:pt idx="2">
                  <c:v>3</c:v>
                </c:pt>
              </c:numCache>
            </c:numRef>
          </c:val>
        </c:ser>
        <c:ser>
          <c:idx val="3"/>
          <c:order val="3"/>
          <c:tx>
            <c:v>Derivadas</c:v>
          </c:tx>
          <c:val>
            <c:numRef>
              <c:f>TRATAMIENTO!$B$6:$D$6</c:f>
              <c:numCache>
                <c:formatCode>General</c:formatCode>
                <c:ptCount val="3"/>
                <c:pt idx="0">
                  <c:v>0</c:v>
                </c:pt>
                <c:pt idx="1">
                  <c:v>0</c:v>
                </c:pt>
                <c:pt idx="2">
                  <c:v>1</c:v>
                </c:pt>
              </c:numCache>
            </c:numRef>
          </c:val>
        </c:ser>
        <c:ser>
          <c:idx val="4"/>
          <c:order val="4"/>
          <c:tx>
            <c:v>Análisis y búsqueda</c:v>
          </c:tx>
          <c:val>
            <c:numRef>
              <c:f>TRATAMIENTO!$B$7:$D$7</c:f>
              <c:numCache>
                <c:formatCode>General</c:formatCode>
                <c:ptCount val="3"/>
                <c:pt idx="0">
                  <c:v>0</c:v>
                </c:pt>
                <c:pt idx="1">
                  <c:v>0</c:v>
                </c:pt>
                <c:pt idx="2">
                  <c:v>3</c:v>
                </c:pt>
              </c:numCache>
            </c:numRef>
          </c:val>
        </c:ser>
        <c:shape val="box"/>
        <c:axId val="146795520"/>
        <c:axId val="149263104"/>
        <c:axId val="0"/>
      </c:bar3DChart>
      <c:catAx>
        <c:axId val="146795520"/>
        <c:scaling>
          <c:orientation val="minMax"/>
        </c:scaling>
        <c:axPos val="b"/>
        <c:majorGridlines/>
        <c:tickLblPos val="nextTo"/>
        <c:crossAx val="149263104"/>
        <c:crosses val="autoZero"/>
        <c:auto val="1"/>
        <c:lblAlgn val="ctr"/>
        <c:lblOffset val="100"/>
        <c:tickMarkSkip val="3"/>
      </c:catAx>
      <c:valAx>
        <c:axId val="149263104"/>
        <c:scaling>
          <c:orientation val="minMax"/>
        </c:scaling>
        <c:axPos val="l"/>
        <c:majorGridlines/>
        <c:numFmt formatCode="General" sourceLinked="1"/>
        <c:tickLblPos val="nextTo"/>
        <c:crossAx val="146795520"/>
        <c:crosses val="autoZero"/>
        <c:crossBetween val="between"/>
      </c:valAx>
    </c:plotArea>
    <c:legend>
      <c:legendPos val="r"/>
    </c:legend>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bar3DChart>
        <c:barDir val="col"/>
        <c:grouping val="clustered"/>
        <c:ser>
          <c:idx val="0"/>
          <c:order val="0"/>
          <c:tx>
            <c:v>Administración y Finanzas</c:v>
          </c:tx>
          <c:val>
            <c:numRef>
              <c:f>'DERIVACION INTERNA'!$D$2:$F$2</c:f>
              <c:numCache>
                <c:formatCode>General</c:formatCode>
                <c:ptCount val="3"/>
                <c:pt idx="0">
                  <c:v>9</c:v>
                </c:pt>
                <c:pt idx="1">
                  <c:v>4</c:v>
                </c:pt>
                <c:pt idx="2">
                  <c:v>14</c:v>
                </c:pt>
              </c:numCache>
            </c:numRef>
          </c:val>
        </c:ser>
        <c:ser>
          <c:idx val="1"/>
          <c:order val="1"/>
          <c:tx>
            <c:v>Asesoría Jurídica</c:v>
          </c:tx>
          <c:val>
            <c:numRef>
              <c:f>'DERIVACION INTERNA'!$D$3:$F$3</c:f>
              <c:numCache>
                <c:formatCode>General</c:formatCode>
                <c:ptCount val="3"/>
                <c:pt idx="0">
                  <c:v>6</c:v>
                </c:pt>
                <c:pt idx="1">
                  <c:v>3</c:v>
                </c:pt>
                <c:pt idx="2">
                  <c:v>4</c:v>
                </c:pt>
              </c:numCache>
            </c:numRef>
          </c:val>
        </c:ser>
        <c:ser>
          <c:idx val="2"/>
          <c:order val="2"/>
          <c:tx>
            <c:v>DIDECO</c:v>
          </c:tx>
          <c:val>
            <c:numRef>
              <c:f>'DERIVACION INTERNA'!$D$4:$F$4</c:f>
              <c:numCache>
                <c:formatCode>General</c:formatCode>
                <c:ptCount val="3"/>
                <c:pt idx="0">
                  <c:v>8</c:v>
                </c:pt>
                <c:pt idx="1">
                  <c:v>15</c:v>
                </c:pt>
                <c:pt idx="2">
                  <c:v>12</c:v>
                </c:pt>
              </c:numCache>
            </c:numRef>
          </c:val>
        </c:ser>
        <c:ser>
          <c:idx val="3"/>
          <c:order val="3"/>
          <c:tx>
            <c:v>DAEM</c:v>
          </c:tx>
          <c:val>
            <c:numRef>
              <c:f>'DERIVACION INTERNA'!$D$5:$F$5</c:f>
              <c:numCache>
                <c:formatCode>General</c:formatCode>
                <c:ptCount val="3"/>
                <c:pt idx="0">
                  <c:v>21</c:v>
                </c:pt>
                <c:pt idx="1">
                  <c:v>6</c:v>
                </c:pt>
                <c:pt idx="2">
                  <c:v>13</c:v>
                </c:pt>
              </c:numCache>
            </c:numRef>
          </c:val>
        </c:ser>
        <c:ser>
          <c:idx val="4"/>
          <c:order val="4"/>
          <c:tx>
            <c:v>Dirección de Salud</c:v>
          </c:tx>
          <c:val>
            <c:numRef>
              <c:f>'DERIVACION INTERNA'!$D$6:$F$6</c:f>
              <c:numCache>
                <c:formatCode>General</c:formatCode>
                <c:ptCount val="3"/>
                <c:pt idx="0">
                  <c:v>1</c:v>
                </c:pt>
                <c:pt idx="1">
                  <c:v>3</c:v>
                </c:pt>
                <c:pt idx="2">
                  <c:v>7</c:v>
                </c:pt>
              </c:numCache>
            </c:numRef>
          </c:val>
        </c:ser>
        <c:ser>
          <c:idx val="5"/>
          <c:order val="5"/>
          <c:tx>
            <c:v>Dirección de Tránsito</c:v>
          </c:tx>
          <c:val>
            <c:numRef>
              <c:f>'DERIVACION INTERNA'!$D$7:$F$7</c:f>
              <c:numCache>
                <c:formatCode>General</c:formatCode>
                <c:ptCount val="3"/>
                <c:pt idx="0">
                  <c:v>4</c:v>
                </c:pt>
                <c:pt idx="2">
                  <c:v>5</c:v>
                </c:pt>
              </c:numCache>
            </c:numRef>
          </c:val>
        </c:ser>
        <c:ser>
          <c:idx val="6"/>
          <c:order val="6"/>
          <c:tx>
            <c:v>Dirección Aseo y Ornato</c:v>
          </c:tx>
          <c:val>
            <c:numRef>
              <c:f>'DERIVACION INTERNA'!$D$8:$F$8</c:f>
              <c:numCache>
                <c:formatCode>General</c:formatCode>
                <c:ptCount val="3"/>
                <c:pt idx="0">
                  <c:v>2</c:v>
                </c:pt>
                <c:pt idx="1">
                  <c:v>6</c:v>
                </c:pt>
                <c:pt idx="2">
                  <c:v>15</c:v>
                </c:pt>
              </c:numCache>
            </c:numRef>
          </c:val>
        </c:ser>
        <c:ser>
          <c:idx val="7"/>
          <c:order val="7"/>
          <c:tx>
            <c:v>DOM</c:v>
          </c:tx>
          <c:val>
            <c:numRef>
              <c:f>'DERIVACION INTERNA'!$D$9:$F$9</c:f>
              <c:numCache>
                <c:formatCode>General</c:formatCode>
                <c:ptCount val="3"/>
                <c:pt idx="0">
                  <c:v>8</c:v>
                </c:pt>
                <c:pt idx="1">
                  <c:v>10</c:v>
                </c:pt>
                <c:pt idx="2">
                  <c:v>9</c:v>
                </c:pt>
              </c:numCache>
            </c:numRef>
          </c:val>
        </c:ser>
        <c:ser>
          <c:idx val="8"/>
          <c:order val="8"/>
          <c:tx>
            <c:v>Oficina de Transparencia</c:v>
          </c:tx>
          <c:val>
            <c:numRef>
              <c:f>'DERIVACION INTERNA'!$D$10:$F$10</c:f>
              <c:numCache>
                <c:formatCode>General</c:formatCode>
                <c:ptCount val="3"/>
                <c:pt idx="0">
                  <c:v>13</c:v>
                </c:pt>
              </c:numCache>
            </c:numRef>
          </c:val>
        </c:ser>
        <c:ser>
          <c:idx val="9"/>
          <c:order val="9"/>
          <c:tx>
            <c:v>RRHH</c:v>
          </c:tx>
          <c:val>
            <c:numRef>
              <c:f>'DERIVACION INTERNA'!$D$11:$F$11</c:f>
              <c:numCache>
                <c:formatCode>General</c:formatCode>
                <c:ptCount val="3"/>
                <c:pt idx="0">
                  <c:v>9</c:v>
                </c:pt>
                <c:pt idx="1">
                  <c:v>9</c:v>
                </c:pt>
                <c:pt idx="2">
                  <c:v>14</c:v>
                </c:pt>
              </c:numCache>
            </c:numRef>
          </c:val>
        </c:ser>
        <c:ser>
          <c:idx val="10"/>
          <c:order val="10"/>
          <c:tx>
            <c:v>RRPP</c:v>
          </c:tx>
          <c:val>
            <c:numRef>
              <c:f>'DERIVACION INTERNA'!$D$12:$F$12</c:f>
              <c:numCache>
                <c:formatCode>General</c:formatCode>
                <c:ptCount val="3"/>
                <c:pt idx="0">
                  <c:v>5</c:v>
                </c:pt>
                <c:pt idx="1">
                  <c:v>3</c:v>
                </c:pt>
                <c:pt idx="2">
                  <c:v>4</c:v>
                </c:pt>
              </c:numCache>
            </c:numRef>
          </c:val>
        </c:ser>
        <c:ser>
          <c:idx val="11"/>
          <c:order val="11"/>
          <c:tx>
            <c:v>SECPLA</c:v>
          </c:tx>
          <c:val>
            <c:numRef>
              <c:f>'DERIVACION INTERNA'!$D$13:$F$13</c:f>
              <c:numCache>
                <c:formatCode>General</c:formatCode>
                <c:ptCount val="3"/>
                <c:pt idx="0">
                  <c:v>2</c:v>
                </c:pt>
                <c:pt idx="1">
                  <c:v>1</c:v>
                </c:pt>
                <c:pt idx="2">
                  <c:v>5</c:v>
                </c:pt>
              </c:numCache>
            </c:numRef>
          </c:val>
        </c:ser>
        <c:ser>
          <c:idx val="12"/>
          <c:order val="12"/>
          <c:tx>
            <c:v>Dirección de Control</c:v>
          </c:tx>
          <c:val>
            <c:numRef>
              <c:f>'DERIVACION INTERNA'!$D$14:$F$14</c:f>
              <c:numCache>
                <c:formatCode>General</c:formatCode>
                <c:ptCount val="3"/>
                <c:pt idx="0">
                  <c:v>0</c:v>
                </c:pt>
                <c:pt idx="1">
                  <c:v>0</c:v>
                </c:pt>
                <c:pt idx="2">
                  <c:v>0</c:v>
                </c:pt>
              </c:numCache>
            </c:numRef>
          </c:val>
        </c:ser>
        <c:ser>
          <c:idx val="13"/>
          <c:order val="13"/>
          <c:tx>
            <c:v>Secretaría Municipal</c:v>
          </c:tx>
          <c:val>
            <c:numRef>
              <c:f>'DERIVACION INTERNA'!$D$15:$F$15</c:f>
              <c:numCache>
                <c:formatCode>General</c:formatCode>
                <c:ptCount val="3"/>
                <c:pt idx="0">
                  <c:v>2</c:v>
                </c:pt>
                <c:pt idx="1">
                  <c:v>3</c:v>
                </c:pt>
                <c:pt idx="2">
                  <c:v>3</c:v>
                </c:pt>
              </c:numCache>
            </c:numRef>
          </c:val>
        </c:ser>
        <c:ser>
          <c:idx val="14"/>
          <c:order val="14"/>
          <c:tx>
            <c:v>Administración Municipal</c:v>
          </c:tx>
          <c:val>
            <c:numRef>
              <c:f>'DERIVACION INTERNA'!$D$16:$F$16</c:f>
              <c:numCache>
                <c:formatCode>General</c:formatCode>
                <c:ptCount val="3"/>
                <c:pt idx="0">
                  <c:v>0</c:v>
                </c:pt>
                <c:pt idx="1">
                  <c:v>1</c:v>
                </c:pt>
                <c:pt idx="2">
                  <c:v>2</c:v>
                </c:pt>
              </c:numCache>
            </c:numRef>
          </c:val>
        </c:ser>
        <c:ser>
          <c:idx val="15"/>
          <c:order val="15"/>
          <c:tx>
            <c:v>Juzgado de Policía Local</c:v>
          </c:tx>
          <c:val>
            <c:numRef>
              <c:f>'DERIVACION INTERNA'!$D$17:$F$17</c:f>
              <c:numCache>
                <c:formatCode>General</c:formatCode>
                <c:ptCount val="3"/>
                <c:pt idx="0">
                  <c:v>0</c:v>
                </c:pt>
                <c:pt idx="1">
                  <c:v>0</c:v>
                </c:pt>
                <c:pt idx="2">
                  <c:v>0</c:v>
                </c:pt>
              </c:numCache>
            </c:numRef>
          </c:val>
        </c:ser>
        <c:shape val="box"/>
        <c:axId val="149687680"/>
        <c:axId val="149701760"/>
        <c:axId val="0"/>
      </c:bar3DChart>
      <c:catAx>
        <c:axId val="149687680"/>
        <c:scaling>
          <c:orientation val="minMax"/>
        </c:scaling>
        <c:axPos val="b"/>
        <c:tickLblPos val="nextTo"/>
        <c:crossAx val="149701760"/>
        <c:crosses val="autoZero"/>
        <c:auto val="1"/>
        <c:lblAlgn val="ctr"/>
        <c:lblOffset val="100"/>
      </c:catAx>
      <c:valAx>
        <c:axId val="149701760"/>
        <c:scaling>
          <c:orientation val="minMax"/>
        </c:scaling>
        <c:axPos val="l"/>
        <c:majorGridlines/>
        <c:numFmt formatCode="General" sourceLinked="1"/>
        <c:tickLblPos val="nextTo"/>
        <c:crossAx val="149687680"/>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B4AF-6733-45D3-AC4F-A28759F8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1076</Words>
  <Characters>5639</Characters>
  <Application>Microsoft Office Word</Application>
  <DocSecurity>0</DocSecurity>
  <Lines>433</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8</cp:revision>
  <cp:lastPrinted>2018-07-20T15:57:00Z</cp:lastPrinted>
  <dcterms:created xsi:type="dcterms:W3CDTF">2018-07-17T17:52:00Z</dcterms:created>
  <dcterms:modified xsi:type="dcterms:W3CDTF">2018-07-20T16:33:00Z</dcterms:modified>
</cp:coreProperties>
</file>